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sz w:val="10"/>
        </w:rPr>
      </w:pPr>
      <w:r>
        <w:rPr>
          <w:rFonts w:ascii="宋体" w:hAnsi="宋体" w:eastAsia="宋体"/>
        </w:rPr>
        <w:drawing>
          <wp:inline distT="0" distB="0" distL="114300" distR="114300">
            <wp:extent cx="1843405" cy="456565"/>
            <wp:effectExtent l="0" t="0" r="4445" b="635"/>
            <wp:docPr id="4" name="图片 2" descr="智昊环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智昊环保"/>
                    <pic:cNvPicPr>
                      <a:picLocks noChangeAspect="1"/>
                    </pic:cNvPicPr>
                  </pic:nvPicPr>
                  <pic:blipFill>
                    <a:blip r:embed="rId5"/>
                    <a:stretch>
                      <a:fillRect/>
                    </a:stretch>
                  </pic:blipFill>
                  <pic:spPr>
                    <a:xfrm>
                      <a:off x="0" y="0"/>
                      <a:ext cx="1843405" cy="456565"/>
                    </a:xfrm>
                    <a:prstGeom prst="rect">
                      <a:avLst/>
                    </a:prstGeom>
                    <a:noFill/>
                    <a:ln>
                      <a:noFill/>
                    </a:ln>
                  </pic:spPr>
                </pic:pic>
              </a:graphicData>
            </a:graphic>
          </wp:inline>
        </w:drawing>
      </w:r>
    </w:p>
    <w:p>
      <w:pPr>
        <w:pStyle w:val="2"/>
        <w:rPr>
          <w:rFonts w:hint="eastAsia" w:ascii="宋体" w:hAnsi="宋体" w:eastAsia="宋体" w:cs="宋体"/>
        </w:rPr>
      </w:pPr>
    </w:p>
    <w:p>
      <w:pPr>
        <w:spacing w:line="500" w:lineRule="exact"/>
        <w:ind w:firstLine="1363" w:firstLineChars="200"/>
        <w:jc w:val="center"/>
        <w:rPr>
          <w:rFonts w:hint="eastAsia" w:ascii="宋体" w:hAnsi="宋体" w:eastAsia="宋体" w:cs="宋体"/>
          <w:b/>
          <w:spacing w:val="120"/>
          <w:sz w:val="44"/>
          <w:szCs w:val="44"/>
        </w:rPr>
      </w:pPr>
    </w:p>
    <w:p>
      <w:pPr>
        <w:spacing w:line="360" w:lineRule="auto"/>
        <w:rPr>
          <w:rFonts w:hint="eastAsia" w:ascii="宋体" w:hAnsi="宋体" w:eastAsia="宋体" w:cs="宋体"/>
          <w:b/>
          <w:spacing w:val="120"/>
          <w:sz w:val="44"/>
          <w:szCs w:val="44"/>
        </w:rPr>
      </w:pPr>
    </w:p>
    <w:p>
      <w:pPr>
        <w:spacing w:line="720" w:lineRule="auto"/>
        <w:jc w:val="center"/>
        <w:rPr>
          <w:rFonts w:hint="eastAsia" w:ascii="宋体" w:hAnsi="宋体" w:eastAsia="宋体" w:cs="宋体"/>
          <w:b/>
          <w:color w:val="000000"/>
          <w:sz w:val="48"/>
          <w:szCs w:val="48"/>
          <w:lang w:eastAsia="zh-CN"/>
        </w:rPr>
      </w:pPr>
      <w:r>
        <w:rPr>
          <w:rFonts w:hint="eastAsia" w:ascii="宋体" w:hAnsi="宋体" w:eastAsia="宋体" w:cs="宋体"/>
          <w:b/>
          <w:color w:val="000000"/>
          <w:sz w:val="48"/>
          <w:szCs w:val="48"/>
          <w:lang w:eastAsia="zh-CN"/>
        </w:rPr>
        <w:t>阳原县鑫发天然气加注站</w:t>
      </w:r>
    </w:p>
    <w:p>
      <w:pPr>
        <w:spacing w:line="720" w:lineRule="auto"/>
        <w:jc w:val="center"/>
        <w:rPr>
          <w:rFonts w:hint="eastAsia" w:ascii="宋体" w:hAnsi="宋体" w:eastAsia="宋体" w:cs="宋体"/>
          <w:b/>
          <w:spacing w:val="-20"/>
          <w:sz w:val="48"/>
          <w:szCs w:val="48"/>
        </w:rPr>
      </w:pPr>
      <w:r>
        <w:rPr>
          <w:rFonts w:hint="eastAsia" w:ascii="宋体" w:hAnsi="宋体" w:eastAsia="宋体" w:cs="宋体"/>
          <w:b/>
          <w:spacing w:val="-20"/>
          <w:sz w:val="48"/>
          <w:szCs w:val="48"/>
        </w:rPr>
        <w:t>竣工环境保护验收报告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32"/>
          <w:szCs w:val="32"/>
        </w:rPr>
      </w:pPr>
      <w:r>
        <w:rPr>
          <w:rFonts w:hint="eastAsia" w:ascii="宋体" w:hAnsi="宋体" w:eastAsia="宋体" w:cs="宋体"/>
          <w:sz w:val="32"/>
          <w:szCs w:val="32"/>
        </w:rPr>
        <w:t xml:space="preserve">   </w:t>
      </w:r>
    </w:p>
    <w:p>
      <w:pPr>
        <w:pStyle w:val="7"/>
        <w:rPr>
          <w:rFonts w:hint="eastAsia" w:ascii="宋体" w:hAnsi="宋体" w:eastAsia="宋体" w:cs="宋体"/>
          <w:sz w:val="32"/>
          <w:szCs w:val="32"/>
        </w:rPr>
      </w:pPr>
    </w:p>
    <w:p>
      <w:pPr>
        <w:pStyle w:val="7"/>
        <w:rPr>
          <w:rFonts w:hint="eastAsia" w:ascii="宋体" w:hAnsi="宋体" w:eastAsia="宋体" w:cs="宋体"/>
          <w:sz w:val="32"/>
          <w:szCs w:val="32"/>
        </w:rPr>
      </w:pPr>
    </w:p>
    <w:p>
      <w:pPr>
        <w:pStyle w:val="7"/>
        <w:rPr>
          <w:rFonts w:hint="eastAsia" w:ascii="宋体" w:hAnsi="宋体" w:eastAsia="宋体" w:cs="宋体"/>
          <w:sz w:val="32"/>
          <w:szCs w:val="32"/>
        </w:rPr>
      </w:pPr>
    </w:p>
    <w:p>
      <w:pPr>
        <w:pStyle w:val="7"/>
        <w:rPr>
          <w:rFonts w:hint="eastAsia" w:ascii="宋体" w:hAnsi="宋体" w:eastAsia="宋体" w:cs="宋体"/>
          <w:sz w:val="32"/>
          <w:szCs w:val="32"/>
        </w:rPr>
      </w:pPr>
    </w:p>
    <w:p>
      <w:pPr>
        <w:pStyle w:val="7"/>
        <w:rPr>
          <w:rFonts w:hint="eastAsia" w:ascii="宋体" w:hAnsi="宋体" w:eastAsia="宋体" w:cs="宋体"/>
          <w:sz w:val="32"/>
          <w:szCs w:val="32"/>
        </w:rPr>
      </w:pPr>
    </w:p>
    <w:p>
      <w:pPr>
        <w:pStyle w:val="7"/>
        <w:rPr>
          <w:rFonts w:hint="eastAsia" w:ascii="宋体" w:hAnsi="宋体" w:eastAsia="宋体" w:cs="宋体"/>
          <w:sz w:val="32"/>
          <w:szCs w:val="32"/>
        </w:rPr>
      </w:pPr>
    </w:p>
    <w:p>
      <w:pPr>
        <w:pStyle w:val="7"/>
        <w:rPr>
          <w:rFonts w:hint="eastAsia" w:ascii="宋体" w:hAnsi="宋体" w:eastAsia="宋体" w:cs="宋体"/>
          <w:sz w:val="32"/>
          <w:szCs w:val="32"/>
        </w:rPr>
      </w:pPr>
    </w:p>
    <w:p>
      <w:pPr>
        <w:pStyle w:val="7"/>
        <w:ind w:left="0" w:leftChars="0" w:firstLine="0" w:firstLineChars="0"/>
        <w:rPr>
          <w:rFonts w:hint="eastAsia" w:ascii="宋体" w:hAnsi="宋体" w:eastAsia="宋体" w:cs="宋体"/>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textAlignment w:val="auto"/>
        <w:rPr>
          <w:rFonts w:hint="eastAsia" w:ascii="宋体" w:hAnsi="宋体" w:eastAsia="宋体" w:cs="宋体"/>
          <w:sz w:val="32"/>
          <w:szCs w:val="32"/>
          <w:lang w:eastAsia="zh-CN"/>
        </w:rPr>
      </w:pPr>
      <w:r>
        <w:rPr>
          <w:rFonts w:hint="eastAsia" w:ascii="宋体" w:hAnsi="宋体" w:eastAsia="宋体" w:cs="宋体"/>
          <w:sz w:val="32"/>
          <w:szCs w:val="32"/>
        </w:rPr>
        <w:t>建设单位：</w:t>
      </w:r>
      <w:r>
        <w:rPr>
          <w:rFonts w:hint="eastAsia" w:ascii="宋体" w:hAnsi="宋体" w:eastAsia="宋体" w:cs="宋体"/>
          <w:sz w:val="32"/>
          <w:szCs w:val="32"/>
          <w:lang w:eastAsia="zh-CN"/>
        </w:rPr>
        <w:t>阳原县鑫发天然气加注站</w:t>
      </w:r>
    </w:p>
    <w:p>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textAlignment w:val="auto"/>
        <w:rPr>
          <w:rFonts w:hint="default" w:ascii="宋体" w:hAnsi="宋体" w:eastAsia="宋体" w:cs="宋体"/>
          <w:sz w:val="32"/>
          <w:szCs w:val="32"/>
          <w:lang w:val="en-US" w:eastAsia="zh-CN"/>
        </w:rPr>
      </w:pPr>
      <w:r>
        <w:rPr>
          <w:rFonts w:hint="eastAsia" w:ascii="宋体" w:hAnsi="宋体" w:eastAsia="宋体" w:cs="宋体"/>
          <w:sz w:val="32"/>
          <w:szCs w:val="32"/>
        </w:rPr>
        <w:t>编制单位：</w:t>
      </w:r>
      <w:r>
        <w:rPr>
          <w:rFonts w:hint="eastAsia" w:ascii="宋体" w:hAnsi="宋体" w:eastAsia="宋体" w:cs="宋体"/>
          <w:sz w:val="32"/>
          <w:szCs w:val="32"/>
          <w:lang w:eastAsia="zh-CN"/>
        </w:rPr>
        <w:t>张家口智昊环保科技有限公司</w:t>
      </w:r>
    </w:p>
    <w:p>
      <w:pPr>
        <w:spacing w:line="500" w:lineRule="exact"/>
        <w:ind w:firstLine="640" w:firstLineChars="200"/>
        <w:jc w:val="center"/>
        <w:rPr>
          <w:rFonts w:hint="eastAsia" w:ascii="宋体" w:hAnsi="宋体" w:eastAsia="宋体" w:cs="宋体"/>
          <w:sz w:val="32"/>
          <w:szCs w:val="32"/>
        </w:rPr>
      </w:pPr>
    </w:p>
    <w:p>
      <w:pPr>
        <w:spacing w:line="500" w:lineRule="exact"/>
        <w:ind w:firstLine="640" w:firstLineChars="200"/>
        <w:jc w:val="center"/>
        <w:rPr>
          <w:rFonts w:hint="eastAsia" w:ascii="宋体" w:hAnsi="宋体" w:eastAsia="宋体" w:cs="宋体"/>
          <w:sz w:val="32"/>
          <w:szCs w:val="32"/>
        </w:rPr>
      </w:pPr>
      <w:r>
        <w:rPr>
          <w:rFonts w:hint="eastAsia" w:ascii="宋体" w:hAnsi="宋体" w:eastAsia="宋体" w:cs="宋体"/>
          <w:sz w:val="32"/>
          <w:szCs w:val="32"/>
        </w:rPr>
        <w:t>2019年</w:t>
      </w:r>
      <w:r>
        <w:rPr>
          <w:rFonts w:hint="eastAsia" w:ascii="宋体" w:hAnsi="宋体" w:eastAsia="宋体" w:cs="宋体"/>
          <w:sz w:val="32"/>
          <w:szCs w:val="32"/>
          <w:lang w:val="en-US" w:eastAsia="zh-CN"/>
        </w:rPr>
        <w:t>10</w:t>
      </w:r>
      <w:r>
        <w:rPr>
          <w:rFonts w:hint="eastAsia" w:ascii="宋体" w:hAnsi="宋体" w:eastAsia="宋体" w:cs="宋体"/>
          <w:sz w:val="32"/>
          <w:szCs w:val="32"/>
        </w:rPr>
        <w:t>月</w:t>
      </w:r>
    </w:p>
    <w:p>
      <w:pPr>
        <w:spacing w:line="500" w:lineRule="exact"/>
        <w:ind w:firstLine="720" w:firstLineChars="200"/>
        <w:jc w:val="center"/>
        <w:rPr>
          <w:rFonts w:hint="eastAsia" w:ascii="宋体" w:hAnsi="宋体" w:eastAsia="宋体" w:cs="宋体"/>
          <w:sz w:val="36"/>
          <w:szCs w:val="36"/>
        </w:rPr>
      </w:pPr>
    </w:p>
    <w:p>
      <w:pPr>
        <w:spacing w:line="500" w:lineRule="exact"/>
        <w:ind w:firstLine="720" w:firstLineChars="200"/>
        <w:jc w:val="center"/>
        <w:rPr>
          <w:rFonts w:hint="eastAsia" w:ascii="宋体" w:hAnsi="宋体" w:eastAsia="宋体" w:cs="宋体"/>
          <w:sz w:val="36"/>
          <w:szCs w:val="36"/>
        </w:rPr>
      </w:pPr>
      <w:bookmarkStart w:id="0" w:name="_Hlk496949272"/>
      <w:bookmarkEnd w:id="0"/>
    </w:p>
    <w:p>
      <w:pPr>
        <w:spacing w:line="500" w:lineRule="exact"/>
        <w:ind w:firstLine="720" w:firstLineChars="200"/>
        <w:jc w:val="center"/>
        <w:rPr>
          <w:rFonts w:hint="eastAsia" w:ascii="宋体" w:hAnsi="宋体" w:eastAsia="宋体" w:cs="宋体"/>
          <w:sz w:val="36"/>
          <w:szCs w:val="36"/>
        </w:rPr>
      </w:pPr>
    </w:p>
    <w:p>
      <w:pPr>
        <w:spacing w:line="500" w:lineRule="exact"/>
        <w:ind w:firstLine="640" w:firstLineChars="200"/>
        <w:jc w:val="center"/>
        <w:rPr>
          <w:rFonts w:hint="eastAsia" w:ascii="宋体" w:hAnsi="宋体" w:eastAsia="宋体" w:cs="宋体"/>
          <w:sz w:val="32"/>
          <w:szCs w:val="32"/>
        </w:rPr>
        <w:sectPr>
          <w:pgSz w:w="11906" w:h="16838"/>
          <w:pgMar w:top="1440" w:right="1800" w:bottom="1440" w:left="1800" w:header="851" w:footer="992" w:gutter="0"/>
          <w:cols w:space="720" w:num="1"/>
          <w:docGrid w:type="lines" w:linePitch="312" w:charSpace="0"/>
        </w:sectPr>
      </w:pPr>
    </w:p>
    <w:p>
      <w:pPr>
        <w:pStyle w:val="113"/>
        <w:spacing w:before="0" w:line="500" w:lineRule="exact"/>
        <w:ind w:firstLine="602" w:firstLineChars="200"/>
        <w:jc w:val="center"/>
        <w:rPr>
          <w:rFonts w:hint="eastAsia" w:ascii="宋体" w:hAnsi="宋体" w:eastAsia="宋体" w:cs="宋体"/>
          <w:b/>
          <w:color w:val="000000"/>
          <w:sz w:val="30"/>
          <w:szCs w:val="30"/>
        </w:rPr>
      </w:pPr>
      <w:r>
        <w:rPr>
          <w:rFonts w:hint="eastAsia" w:ascii="宋体" w:hAnsi="宋体" w:eastAsia="宋体" w:cs="宋体"/>
          <w:b/>
          <w:color w:val="000000"/>
          <w:sz w:val="30"/>
          <w:szCs w:val="30"/>
          <w:lang w:val="zh-CN"/>
        </w:rPr>
        <w:t>目录</w:t>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cs="宋体"/>
          <w:szCs w:val="24"/>
        </w:rPr>
        <w:fldChar w:fldCharType="begin"/>
      </w:r>
      <w:r>
        <w:rPr>
          <w:rFonts w:hint="eastAsia" w:ascii="宋体" w:hAnsi="宋体" w:cs="宋体"/>
          <w:szCs w:val="24"/>
        </w:rPr>
        <w:instrText xml:space="preserve"> TOC \o "1-3" \h \z \u </w:instrText>
      </w:r>
      <w:r>
        <w:rPr>
          <w:rFonts w:hint="eastAsia" w:ascii="宋体" w:hAnsi="宋体" w:cs="宋体"/>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_Toc3875 </w:instrText>
      </w:r>
      <w:r>
        <w:rPr>
          <w:rFonts w:hint="eastAsia" w:ascii="宋体" w:hAnsi="宋体" w:eastAsia="宋体" w:cs="宋体"/>
          <w:szCs w:val="24"/>
        </w:rPr>
        <w:fldChar w:fldCharType="separate"/>
      </w:r>
      <w:r>
        <w:rPr>
          <w:rFonts w:hint="eastAsia" w:ascii="宋体" w:hAnsi="宋体" w:eastAsia="宋体" w:cs="宋体"/>
        </w:rPr>
        <w:t>1 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_Toc3875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_Toc23573 </w:instrText>
      </w:r>
      <w:r>
        <w:rPr>
          <w:rFonts w:hint="eastAsia" w:ascii="宋体" w:hAnsi="宋体" w:eastAsia="宋体" w:cs="宋体"/>
          <w:bCs/>
          <w:szCs w:val="24"/>
          <w:lang w:val="zh-CN"/>
        </w:rPr>
        <w:fldChar w:fldCharType="separate"/>
      </w:r>
      <w:r>
        <w:rPr>
          <w:rFonts w:hint="eastAsia" w:ascii="宋体" w:hAnsi="宋体" w:eastAsia="宋体" w:cs="宋体"/>
        </w:rPr>
        <w:t>2 验收编制依据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_Toc23573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_Toc13390 </w:instrText>
      </w:r>
      <w:r>
        <w:rPr>
          <w:rFonts w:hint="eastAsia" w:ascii="宋体" w:hAnsi="宋体" w:eastAsia="宋体" w:cs="宋体"/>
          <w:bCs/>
          <w:szCs w:val="24"/>
          <w:lang w:val="zh-CN"/>
        </w:rPr>
        <w:fldChar w:fldCharType="separate"/>
      </w:r>
      <w:r>
        <w:rPr>
          <w:rFonts w:hint="eastAsia" w:ascii="宋体" w:hAnsi="宋体" w:eastAsia="宋体" w:cs="宋体"/>
        </w:rPr>
        <w:t>2.1法律、法规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_Toc13390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_Toc16551 </w:instrText>
      </w:r>
      <w:r>
        <w:rPr>
          <w:rFonts w:hint="eastAsia" w:ascii="宋体" w:hAnsi="宋体" w:eastAsia="宋体" w:cs="宋体"/>
          <w:bCs/>
          <w:szCs w:val="24"/>
          <w:lang w:val="zh-CN"/>
        </w:rPr>
        <w:fldChar w:fldCharType="separate"/>
      </w:r>
      <w:r>
        <w:rPr>
          <w:rFonts w:hint="eastAsia" w:ascii="宋体" w:hAnsi="宋体" w:eastAsia="宋体" w:cs="宋体"/>
        </w:rPr>
        <w:t>2.2 部门规章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_Toc16551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_Toc9729 </w:instrText>
      </w:r>
      <w:r>
        <w:rPr>
          <w:rFonts w:hint="eastAsia" w:ascii="宋体" w:hAnsi="宋体" w:eastAsia="宋体" w:cs="宋体"/>
          <w:bCs/>
          <w:szCs w:val="24"/>
          <w:lang w:val="zh-CN"/>
        </w:rPr>
        <w:fldChar w:fldCharType="separate"/>
      </w:r>
      <w:r>
        <w:rPr>
          <w:rFonts w:hint="eastAsia" w:ascii="宋体" w:hAnsi="宋体" w:eastAsia="宋体" w:cs="宋体"/>
        </w:rPr>
        <w:t>2.3 验收技术规范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_Toc9729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_Toc14964 </w:instrText>
      </w:r>
      <w:r>
        <w:rPr>
          <w:rFonts w:hint="eastAsia" w:ascii="宋体" w:hAnsi="宋体" w:eastAsia="宋体" w:cs="宋体"/>
          <w:bCs/>
          <w:szCs w:val="24"/>
          <w:lang w:val="zh-CN"/>
        </w:rPr>
        <w:fldChar w:fldCharType="separate"/>
      </w:r>
      <w:r>
        <w:rPr>
          <w:rFonts w:hint="eastAsia" w:ascii="宋体" w:hAnsi="宋体" w:eastAsia="宋体" w:cs="宋体"/>
        </w:rPr>
        <w:t>2.4其他相关文件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_Toc14964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_Toc17545 </w:instrText>
      </w:r>
      <w:r>
        <w:rPr>
          <w:rFonts w:hint="eastAsia" w:ascii="宋体" w:hAnsi="宋体" w:eastAsia="宋体" w:cs="宋体"/>
          <w:bCs/>
          <w:szCs w:val="24"/>
          <w:lang w:val="zh-CN"/>
        </w:rPr>
        <w:fldChar w:fldCharType="separate"/>
      </w:r>
      <w:r>
        <w:rPr>
          <w:rFonts w:hint="eastAsia" w:ascii="宋体" w:hAnsi="宋体" w:eastAsia="宋体" w:cs="宋体"/>
        </w:rPr>
        <w:t>3 项目建设情况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_Toc17545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_Toc20782 </w:instrText>
      </w:r>
      <w:r>
        <w:rPr>
          <w:rFonts w:hint="eastAsia" w:ascii="宋体" w:hAnsi="宋体" w:eastAsia="宋体" w:cs="宋体"/>
          <w:bCs/>
          <w:szCs w:val="24"/>
          <w:lang w:val="zh-CN"/>
        </w:rPr>
        <w:fldChar w:fldCharType="separate"/>
      </w:r>
      <w:r>
        <w:rPr>
          <w:rFonts w:hint="eastAsia" w:ascii="宋体" w:hAnsi="宋体" w:eastAsia="宋体" w:cs="宋体"/>
        </w:rPr>
        <w:t>3.1地理位置及平面布置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_Toc20782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_Toc21746 </w:instrText>
      </w:r>
      <w:r>
        <w:rPr>
          <w:rFonts w:hint="eastAsia" w:ascii="宋体" w:hAnsi="宋体" w:eastAsia="宋体" w:cs="宋体"/>
          <w:bCs/>
          <w:szCs w:val="24"/>
          <w:lang w:val="zh-CN"/>
        </w:rPr>
        <w:fldChar w:fldCharType="separate"/>
      </w:r>
      <w:r>
        <w:rPr>
          <w:rFonts w:hint="eastAsia" w:ascii="宋体" w:hAnsi="宋体" w:eastAsia="宋体" w:cs="宋体"/>
        </w:rPr>
        <w:t>3.2 建设内容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_Toc21746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_Toc32055 </w:instrText>
      </w:r>
      <w:r>
        <w:rPr>
          <w:rFonts w:hint="eastAsia" w:ascii="宋体" w:hAnsi="宋体" w:eastAsia="宋体" w:cs="宋体"/>
          <w:bCs/>
          <w:szCs w:val="24"/>
          <w:lang w:val="zh-CN"/>
        </w:rPr>
        <w:fldChar w:fldCharType="separate"/>
      </w:r>
      <w:r>
        <w:rPr>
          <w:rFonts w:hint="eastAsia" w:ascii="宋体" w:hAnsi="宋体" w:eastAsia="宋体" w:cs="宋体"/>
        </w:rPr>
        <w:t>3.3 主要原辅材料及燃料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_Toc32055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_Toc20503 </w:instrText>
      </w:r>
      <w:r>
        <w:rPr>
          <w:rFonts w:hint="eastAsia" w:ascii="宋体" w:hAnsi="宋体" w:eastAsia="宋体" w:cs="宋体"/>
          <w:bCs/>
          <w:szCs w:val="24"/>
          <w:lang w:val="zh-CN"/>
        </w:rPr>
        <w:fldChar w:fldCharType="separate"/>
      </w:r>
      <w:r>
        <w:rPr>
          <w:rFonts w:hint="eastAsia" w:ascii="宋体" w:hAnsi="宋体" w:eastAsia="宋体" w:cs="宋体"/>
        </w:rPr>
        <w:t>3.4 水源及水平衡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_Toc20503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_Toc26252 </w:instrText>
      </w:r>
      <w:r>
        <w:rPr>
          <w:rFonts w:hint="eastAsia" w:ascii="宋体" w:hAnsi="宋体" w:eastAsia="宋体" w:cs="宋体"/>
          <w:bCs/>
          <w:szCs w:val="24"/>
          <w:lang w:val="zh-CN"/>
        </w:rPr>
        <w:fldChar w:fldCharType="separate"/>
      </w:r>
      <w:r>
        <w:rPr>
          <w:rFonts w:hint="eastAsia" w:ascii="宋体" w:hAnsi="宋体" w:eastAsia="宋体" w:cs="宋体"/>
        </w:rPr>
        <w:t>3.5 生产工艺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_Toc26252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_Toc9244 </w:instrText>
      </w:r>
      <w:r>
        <w:rPr>
          <w:rFonts w:hint="eastAsia" w:ascii="宋体" w:hAnsi="宋体" w:eastAsia="宋体" w:cs="宋体"/>
          <w:bCs/>
          <w:szCs w:val="24"/>
          <w:lang w:val="zh-CN"/>
        </w:rPr>
        <w:fldChar w:fldCharType="separate"/>
      </w:r>
      <w:r>
        <w:rPr>
          <w:rFonts w:hint="eastAsia" w:ascii="宋体" w:hAnsi="宋体" w:eastAsia="宋体" w:cs="宋体"/>
          <w:highlight w:val="none"/>
        </w:rPr>
        <w:t>3.6 项目变动情况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_Toc9244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_Toc7696 </w:instrText>
      </w:r>
      <w:r>
        <w:rPr>
          <w:rFonts w:hint="eastAsia" w:ascii="宋体" w:hAnsi="宋体" w:eastAsia="宋体" w:cs="宋体"/>
          <w:bCs/>
          <w:szCs w:val="24"/>
          <w:lang w:val="zh-CN"/>
        </w:rPr>
        <w:fldChar w:fldCharType="separate"/>
      </w:r>
      <w:r>
        <w:rPr>
          <w:rFonts w:hint="eastAsia" w:ascii="宋体" w:hAnsi="宋体" w:eastAsia="宋体" w:cs="宋体"/>
        </w:rPr>
        <w:t>4 环境保护设施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_Toc7696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_Toc14328 </w:instrText>
      </w:r>
      <w:r>
        <w:rPr>
          <w:rFonts w:hint="eastAsia" w:ascii="宋体" w:hAnsi="宋体" w:eastAsia="宋体" w:cs="宋体"/>
          <w:bCs/>
          <w:szCs w:val="24"/>
          <w:lang w:val="zh-CN"/>
        </w:rPr>
        <w:fldChar w:fldCharType="separate"/>
      </w:r>
      <w:r>
        <w:rPr>
          <w:rFonts w:hint="eastAsia" w:ascii="宋体" w:hAnsi="宋体" w:eastAsia="宋体" w:cs="宋体"/>
        </w:rPr>
        <w:t>4.1 污染物治理/处置设施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_Toc14328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_Toc2681 </w:instrText>
      </w:r>
      <w:r>
        <w:rPr>
          <w:rFonts w:hint="eastAsia" w:ascii="宋体" w:hAnsi="宋体" w:eastAsia="宋体" w:cs="宋体"/>
          <w:bCs/>
          <w:szCs w:val="24"/>
          <w:lang w:val="zh-CN"/>
        </w:rPr>
        <w:fldChar w:fldCharType="separate"/>
      </w:r>
      <w:r>
        <w:rPr>
          <w:rFonts w:hint="eastAsia" w:ascii="宋体" w:hAnsi="宋体" w:eastAsia="宋体" w:cs="宋体"/>
        </w:rPr>
        <w:t>4.2 其他环境保护设施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_Toc2681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_Toc13031 </w:instrText>
      </w:r>
      <w:r>
        <w:rPr>
          <w:rFonts w:hint="eastAsia" w:ascii="宋体" w:hAnsi="宋体" w:eastAsia="宋体" w:cs="宋体"/>
          <w:bCs/>
          <w:szCs w:val="24"/>
          <w:lang w:val="zh-CN"/>
        </w:rPr>
        <w:fldChar w:fldCharType="separate"/>
      </w:r>
      <w:r>
        <w:rPr>
          <w:rFonts w:hint="eastAsia" w:ascii="宋体" w:hAnsi="宋体" w:eastAsia="宋体" w:cs="宋体"/>
        </w:rPr>
        <w:t>4.3 环保设施投资及“三同时”落实情况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_Toc13031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_Toc8234 </w:instrText>
      </w:r>
      <w:r>
        <w:rPr>
          <w:rFonts w:hint="eastAsia" w:ascii="宋体" w:hAnsi="宋体" w:eastAsia="宋体" w:cs="宋体"/>
          <w:bCs/>
          <w:szCs w:val="24"/>
          <w:lang w:val="zh-CN"/>
        </w:rPr>
        <w:fldChar w:fldCharType="separate"/>
      </w:r>
      <w:r>
        <w:rPr>
          <w:rFonts w:hint="eastAsia" w:ascii="宋体" w:hAnsi="宋体" w:eastAsia="宋体" w:cs="宋体"/>
        </w:rPr>
        <w:t>5 环评主要结论及审批部门审批决定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_Toc8234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_Toc2986 </w:instrText>
      </w:r>
      <w:r>
        <w:rPr>
          <w:rFonts w:hint="eastAsia" w:ascii="宋体" w:hAnsi="宋体" w:eastAsia="宋体" w:cs="宋体"/>
          <w:bCs/>
          <w:szCs w:val="24"/>
          <w:lang w:val="zh-CN"/>
        </w:rPr>
        <w:fldChar w:fldCharType="separate"/>
      </w:r>
      <w:r>
        <w:rPr>
          <w:rFonts w:hint="eastAsia" w:ascii="宋体" w:hAnsi="宋体" w:eastAsia="宋体" w:cs="宋体"/>
        </w:rPr>
        <w:t>5.1建设项目环评报告表的主要结论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_Toc2986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_Toc14977 </w:instrText>
      </w:r>
      <w:r>
        <w:rPr>
          <w:rFonts w:hint="eastAsia" w:ascii="宋体" w:hAnsi="宋体" w:eastAsia="宋体" w:cs="宋体"/>
          <w:bCs/>
          <w:szCs w:val="24"/>
          <w:lang w:val="zh-CN"/>
        </w:rPr>
        <w:fldChar w:fldCharType="separate"/>
      </w:r>
      <w:r>
        <w:rPr>
          <w:rFonts w:hint="eastAsia" w:ascii="宋体" w:hAnsi="宋体" w:eastAsia="宋体" w:cs="宋体"/>
        </w:rPr>
        <w:t>5.2 审批部门审批决定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_Toc14977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_Toc30829 </w:instrText>
      </w:r>
      <w:r>
        <w:rPr>
          <w:rFonts w:hint="eastAsia" w:ascii="宋体" w:hAnsi="宋体" w:eastAsia="宋体" w:cs="宋体"/>
          <w:bCs/>
          <w:szCs w:val="24"/>
          <w:lang w:val="zh-CN"/>
        </w:rPr>
        <w:fldChar w:fldCharType="separate"/>
      </w:r>
      <w:r>
        <w:rPr>
          <w:rFonts w:hint="eastAsia" w:ascii="宋体" w:hAnsi="宋体" w:eastAsia="宋体" w:cs="宋体"/>
        </w:rPr>
        <w:t>6 验收执行标准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_Toc30829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_Toc17413 </w:instrText>
      </w:r>
      <w:r>
        <w:rPr>
          <w:rFonts w:hint="eastAsia" w:ascii="宋体" w:hAnsi="宋体" w:eastAsia="宋体" w:cs="宋体"/>
          <w:bCs/>
          <w:szCs w:val="24"/>
          <w:lang w:val="zh-CN"/>
        </w:rPr>
        <w:fldChar w:fldCharType="separate"/>
      </w:r>
      <w:r>
        <w:rPr>
          <w:rFonts w:hint="eastAsia" w:ascii="宋体" w:hAnsi="宋体" w:eastAsia="宋体" w:cs="宋体"/>
        </w:rPr>
        <w:t>6.1 废气执行标准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_Toc17413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_Toc25369 </w:instrText>
      </w:r>
      <w:r>
        <w:rPr>
          <w:rFonts w:hint="eastAsia" w:ascii="宋体" w:hAnsi="宋体" w:eastAsia="宋体" w:cs="宋体"/>
          <w:bCs/>
          <w:szCs w:val="24"/>
          <w:lang w:val="zh-CN"/>
        </w:rPr>
        <w:fldChar w:fldCharType="separate"/>
      </w:r>
      <w:r>
        <w:rPr>
          <w:rFonts w:hint="eastAsia" w:ascii="宋体" w:hAnsi="宋体" w:eastAsia="宋体" w:cs="宋体"/>
        </w:rPr>
        <w:t>6.</w:t>
      </w:r>
      <w:r>
        <w:rPr>
          <w:rFonts w:hint="eastAsia" w:ascii="宋体" w:hAnsi="宋体" w:eastAsia="宋体" w:cs="宋体"/>
          <w:lang w:val="en-US" w:eastAsia="zh-CN"/>
        </w:rPr>
        <w:t>2</w:t>
      </w:r>
      <w:r>
        <w:rPr>
          <w:rFonts w:hint="eastAsia" w:ascii="宋体" w:hAnsi="宋体" w:eastAsia="宋体" w:cs="宋体"/>
        </w:rPr>
        <w:t xml:space="preserve"> 噪声执行标准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_Toc25369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_Toc2679 </w:instrText>
      </w:r>
      <w:r>
        <w:rPr>
          <w:rFonts w:hint="eastAsia" w:ascii="宋体" w:hAnsi="宋体" w:eastAsia="宋体" w:cs="宋体"/>
          <w:bCs/>
          <w:szCs w:val="24"/>
          <w:lang w:val="zh-CN"/>
        </w:rPr>
        <w:fldChar w:fldCharType="separate"/>
      </w:r>
      <w:r>
        <w:rPr>
          <w:rFonts w:hint="eastAsia" w:ascii="宋体" w:hAnsi="宋体" w:eastAsia="宋体" w:cs="宋体"/>
        </w:rPr>
        <w:t>6.</w:t>
      </w:r>
      <w:r>
        <w:rPr>
          <w:rFonts w:hint="eastAsia" w:ascii="宋体" w:hAnsi="宋体" w:eastAsia="宋体" w:cs="宋体"/>
          <w:lang w:val="en-US" w:eastAsia="zh-CN"/>
        </w:rPr>
        <w:t>3</w:t>
      </w:r>
      <w:r>
        <w:rPr>
          <w:rFonts w:hint="eastAsia" w:ascii="宋体" w:hAnsi="宋体" w:eastAsia="宋体" w:cs="宋体"/>
        </w:rPr>
        <w:t xml:space="preserve"> 固废执行标准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_Toc2679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_Toc10239 </w:instrText>
      </w:r>
      <w:r>
        <w:rPr>
          <w:rFonts w:hint="eastAsia" w:ascii="宋体" w:hAnsi="宋体" w:eastAsia="宋体" w:cs="宋体"/>
          <w:bCs/>
          <w:szCs w:val="24"/>
          <w:lang w:val="zh-CN"/>
        </w:rPr>
        <w:fldChar w:fldCharType="separate"/>
      </w:r>
      <w:r>
        <w:rPr>
          <w:rFonts w:hint="eastAsia" w:ascii="宋体" w:hAnsi="宋体" w:eastAsia="宋体" w:cs="宋体"/>
        </w:rPr>
        <w:t>7 验收监测内容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_Toc10239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_Toc28717 </w:instrText>
      </w:r>
      <w:r>
        <w:rPr>
          <w:rFonts w:hint="eastAsia" w:ascii="宋体" w:hAnsi="宋体" w:eastAsia="宋体" w:cs="宋体"/>
          <w:bCs/>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 xml:space="preserve"> 验收监测结论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_Toc28717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rPr>
          <w:rFonts w:hint="eastAsia" w:ascii="宋体" w:hAnsi="宋体" w:eastAsia="宋体" w:cs="宋体"/>
        </w:rPr>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_Toc25152 </w:instrText>
      </w:r>
      <w:r>
        <w:rPr>
          <w:rFonts w:hint="eastAsia" w:ascii="宋体" w:hAnsi="宋体" w:eastAsia="宋体" w:cs="宋体"/>
          <w:bCs/>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.1验收主要结论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_Toc25152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40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_Toc25955 </w:instrText>
      </w:r>
      <w:r>
        <w:rPr>
          <w:rFonts w:hint="eastAsia" w:ascii="宋体" w:hAnsi="宋体" w:eastAsia="宋体" w:cs="宋体"/>
          <w:bCs/>
          <w:szCs w:val="24"/>
          <w:lang w:val="zh-CN"/>
        </w:rPr>
        <w:fldChar w:fldCharType="separate"/>
      </w:r>
      <w:r>
        <w:rPr>
          <w:rFonts w:hint="eastAsia" w:ascii="宋体" w:hAnsi="宋体" w:eastAsia="宋体" w:cs="宋体"/>
          <w:lang w:val="en-US" w:eastAsia="zh-CN"/>
        </w:rPr>
        <w:t>8</w:t>
      </w:r>
      <w:r>
        <w:rPr>
          <w:rFonts w:hint="eastAsia" w:ascii="宋体" w:hAnsi="宋体" w:eastAsia="宋体" w:cs="宋体"/>
        </w:rPr>
        <w:t>.2 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_Toc25955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bCs/>
          <w:szCs w:val="24"/>
          <w:lang w:val="zh-CN"/>
        </w:rPr>
        <w:fldChar w:fldCharType="end"/>
      </w:r>
    </w:p>
    <w:p>
      <w:pPr>
        <w:pStyle w:val="2"/>
        <w:tabs>
          <w:tab w:val="right" w:leader="hyphen" w:pos="8296"/>
        </w:tabs>
        <w:spacing w:line="400" w:lineRule="exact"/>
        <w:ind w:left="0" w:leftChars="0"/>
        <w:rPr>
          <w:rFonts w:hint="eastAsia" w:ascii="宋体" w:hAnsi="宋体" w:eastAsia="宋体" w:cs="宋体"/>
          <w:b/>
          <w:bCs/>
          <w:sz w:val="24"/>
          <w:szCs w:val="24"/>
          <w:lang w:val="zh-CN"/>
        </w:rPr>
      </w:pPr>
      <w:r>
        <w:rPr>
          <w:rFonts w:hint="eastAsia" w:ascii="宋体" w:hAnsi="宋体" w:eastAsia="宋体" w:cs="宋体"/>
          <w:bCs/>
          <w:szCs w:val="24"/>
          <w:lang w:val="zh-CN"/>
        </w:rPr>
        <w:fldChar w:fldCharType="end"/>
      </w:r>
    </w:p>
    <w:p>
      <w:pPr>
        <w:spacing w:line="500" w:lineRule="exact"/>
        <w:ind w:firstLine="420" w:firstLineChars="200"/>
        <w:rPr>
          <w:rFonts w:hint="eastAsia" w:ascii="宋体" w:hAnsi="宋体" w:eastAsia="宋体" w:cs="宋体"/>
        </w:rPr>
      </w:pPr>
    </w:p>
    <w:p>
      <w:pPr>
        <w:pStyle w:val="2"/>
        <w:rPr>
          <w:rFonts w:hint="eastAsia" w:ascii="宋体" w:hAnsi="宋体" w:eastAsia="宋体" w:cs="宋体"/>
        </w:rPr>
      </w:pPr>
    </w:p>
    <w:p>
      <w:pPr>
        <w:spacing w:line="500" w:lineRule="exact"/>
        <w:rPr>
          <w:rFonts w:hint="eastAsia" w:ascii="宋体" w:hAnsi="宋体" w:eastAsia="宋体" w:cs="宋体"/>
        </w:rPr>
      </w:pPr>
    </w:p>
    <w:p>
      <w:pPr>
        <w:pStyle w:val="2"/>
        <w:rPr>
          <w:rFonts w:hint="eastAsia"/>
        </w:rPr>
      </w:pPr>
    </w:p>
    <w:p>
      <w:pPr>
        <w:pStyle w:val="3"/>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cs="宋体"/>
        </w:rPr>
      </w:pPr>
      <w:bookmarkStart w:id="1" w:name="_Toc3875"/>
      <w:r>
        <w:rPr>
          <w:rFonts w:hint="eastAsia" w:cs="宋体"/>
        </w:rPr>
        <w:t>1 项目概况</w:t>
      </w:r>
      <w:bookmarkEnd w:id="1"/>
    </w:p>
    <w:p>
      <w:pPr>
        <w:keepNext w:val="0"/>
        <w:keepLines w:val="0"/>
        <w:pageBreakBefore w:val="0"/>
        <w:widowControl w:val="0"/>
        <w:kinsoku/>
        <w:wordWrap/>
        <w:overflowPunct/>
        <w:topLinePunct w:val="0"/>
        <w:autoSpaceDE/>
        <w:autoSpaceDN/>
        <w:bidi w:val="0"/>
        <w:adjustRightInd/>
        <w:snapToGrid/>
        <w:spacing w:before="0" w:after="0" w:line="440" w:lineRule="exact"/>
        <w:ind w:left="0" w:right="0" w:firstLine="480"/>
        <w:jc w:val="both"/>
        <w:textAlignment w:val="auto"/>
        <w:rPr>
          <w:rFonts w:ascii="仿宋" w:hAnsi="仿宋" w:eastAsia="仿宋" w:cs="仿宋"/>
          <w:color w:val="auto"/>
          <w:spacing w:val="0"/>
          <w:position w:val="0"/>
          <w:sz w:val="24"/>
          <w:shd w:val="clear" w:fill="auto"/>
        </w:rPr>
      </w:pP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投</w:t>
      </w:r>
      <w:r>
        <w:rPr>
          <w:rFonts w:hint="eastAsia" w:ascii="宋体" w:hAnsi="宋体" w:eastAsia="宋体" w:cs="宋体"/>
          <w:sz w:val="24"/>
          <w:szCs w:val="24"/>
          <w:highlight w:val="none"/>
        </w:rPr>
        <w:t>资</w:t>
      </w:r>
      <w:r>
        <w:rPr>
          <w:rFonts w:hint="eastAsia" w:ascii="宋体" w:hAnsi="宋体" w:eastAsia="宋体" w:cs="宋体"/>
          <w:sz w:val="24"/>
          <w:szCs w:val="24"/>
          <w:highlight w:val="none"/>
          <w:lang w:val="en-US" w:eastAsia="zh-CN"/>
        </w:rPr>
        <w:t>1229.05</w:t>
      </w:r>
      <w:r>
        <w:rPr>
          <w:rFonts w:hint="eastAsia" w:ascii="宋体" w:hAnsi="宋体" w:eastAsia="宋体" w:cs="宋体"/>
          <w:sz w:val="24"/>
          <w:szCs w:val="24"/>
          <w:highlight w:val="none"/>
        </w:rPr>
        <w:t>万</w:t>
      </w:r>
      <w:r>
        <w:rPr>
          <w:rFonts w:hint="eastAsia" w:ascii="宋体" w:hAnsi="宋体" w:eastAsia="宋体" w:cs="宋体"/>
          <w:sz w:val="24"/>
          <w:szCs w:val="24"/>
        </w:rPr>
        <w:t>元在</w:t>
      </w:r>
      <w:r>
        <w:rPr>
          <w:rFonts w:hint="eastAsia" w:ascii="宋体" w:hAnsi="宋体" w:eastAsia="宋体" w:cs="宋体"/>
          <w:sz w:val="24"/>
          <w:szCs w:val="24"/>
          <w:lang w:eastAsia="zh-CN"/>
        </w:rPr>
        <w:t>阳原县东井集镇拣花堡村109国道以北</w:t>
      </w:r>
      <w:r>
        <w:rPr>
          <w:rFonts w:hint="eastAsia" w:ascii="宋体" w:hAnsi="宋体" w:eastAsia="宋体" w:cs="宋体"/>
          <w:sz w:val="24"/>
          <w:szCs w:val="24"/>
        </w:rPr>
        <w:t>建设</w:t>
      </w:r>
      <w:r>
        <w:rPr>
          <w:rFonts w:hint="eastAsia" w:ascii="宋体" w:hAnsi="宋体" w:eastAsia="宋体" w:cs="宋体"/>
          <w:sz w:val="24"/>
          <w:szCs w:val="24"/>
          <w:lang w:eastAsia="zh-CN"/>
        </w:rPr>
        <w:t>阳原县鑫发天然气加注站。阳原县鑫发天然气加注站</w:t>
      </w:r>
      <w:r>
        <w:rPr>
          <w:rFonts w:hint="eastAsia" w:ascii="宋体" w:hAnsi="宋体" w:eastAsia="宋体" w:cs="宋体"/>
          <w:sz w:val="24"/>
          <w:szCs w:val="24"/>
        </w:rPr>
        <w:t>201</w:t>
      </w:r>
      <w:r>
        <w:rPr>
          <w:rFonts w:ascii="宋体" w:hAnsi="宋体" w:eastAsia="宋体" w:cs="宋体"/>
          <w:sz w:val="24"/>
          <w:szCs w:val="24"/>
        </w:rPr>
        <w:t>8</w:t>
      </w:r>
      <w:r>
        <w:rPr>
          <w:rFonts w:hint="eastAsia" w:ascii="宋体" w:hAnsi="宋体" w:eastAsia="宋体" w:cs="宋体"/>
          <w:sz w:val="24"/>
          <w:szCs w:val="24"/>
        </w:rPr>
        <w:t>年</w:t>
      </w:r>
      <w:r>
        <w:rPr>
          <w:rFonts w:hint="eastAsia" w:ascii="宋体" w:hAnsi="宋体" w:eastAsia="宋体" w:cs="宋体"/>
          <w:sz w:val="24"/>
          <w:szCs w:val="24"/>
          <w:lang w:val="en-US" w:eastAsia="zh-CN"/>
        </w:rPr>
        <w:t>3</w:t>
      </w:r>
      <w:r>
        <w:rPr>
          <w:rFonts w:hint="eastAsia" w:ascii="宋体" w:hAnsi="宋体" w:eastAsia="宋体" w:cs="宋体"/>
          <w:sz w:val="24"/>
          <w:szCs w:val="24"/>
        </w:rPr>
        <w:t>月委托张家口正德地质勘测技术服务有限公司编制《</w:t>
      </w: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环境影响报告表》，该项目环评报告于201</w:t>
      </w:r>
      <w:r>
        <w:rPr>
          <w:rFonts w:ascii="宋体" w:hAnsi="宋体" w:eastAsia="宋体" w:cs="宋体"/>
          <w:sz w:val="24"/>
          <w:szCs w:val="24"/>
        </w:rPr>
        <w:t>8</w:t>
      </w:r>
      <w:r>
        <w:rPr>
          <w:rFonts w:hint="eastAsia" w:ascii="宋体" w:hAnsi="宋体" w:eastAsia="宋体" w:cs="宋体"/>
          <w:sz w:val="24"/>
          <w:szCs w:val="24"/>
        </w:rPr>
        <w:t>年</w:t>
      </w:r>
      <w:r>
        <w:rPr>
          <w:rFonts w:hint="eastAsia" w:ascii="宋体" w:hAnsi="宋体" w:eastAsia="宋体" w:cs="宋体"/>
          <w:sz w:val="24"/>
          <w:szCs w:val="24"/>
          <w:lang w:val="en-US" w:eastAsia="zh-CN"/>
        </w:rPr>
        <w:t>5</w:t>
      </w:r>
      <w:r>
        <w:rPr>
          <w:rFonts w:hint="eastAsia" w:ascii="宋体" w:hAnsi="宋体" w:eastAsia="宋体" w:cs="宋体"/>
          <w:sz w:val="24"/>
          <w:szCs w:val="24"/>
        </w:rPr>
        <w:t>月</w:t>
      </w:r>
      <w:r>
        <w:rPr>
          <w:rFonts w:hint="eastAsia" w:ascii="宋体" w:hAnsi="宋体" w:eastAsia="宋体" w:cs="宋体"/>
          <w:sz w:val="24"/>
          <w:szCs w:val="24"/>
          <w:lang w:val="en-US" w:eastAsia="zh-CN"/>
        </w:rPr>
        <w:t>8</w:t>
      </w:r>
      <w:r>
        <w:rPr>
          <w:rFonts w:hint="eastAsia" w:ascii="宋体" w:hAnsi="宋体" w:eastAsia="宋体" w:cs="宋体"/>
          <w:sz w:val="24"/>
          <w:szCs w:val="24"/>
        </w:rPr>
        <w:t>日通过张家口市行政审批局审批，审批文号：张行审立字[201</w:t>
      </w:r>
      <w:r>
        <w:rPr>
          <w:rFonts w:ascii="宋体" w:hAnsi="宋体" w:eastAsia="宋体" w:cs="宋体"/>
          <w:sz w:val="24"/>
          <w:szCs w:val="24"/>
        </w:rPr>
        <w:t>8</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ascii="宋体" w:hAnsi="宋体" w:eastAsia="宋体" w:cs="宋体"/>
          <w:sz w:val="24"/>
          <w:szCs w:val="24"/>
        </w:rPr>
        <w:t>36</w:t>
      </w:r>
      <w:r>
        <w:rPr>
          <w:rFonts w:hint="eastAsia" w:ascii="宋体" w:hAnsi="宋体" w:eastAsia="宋体" w:cs="宋体"/>
          <w:sz w:val="24"/>
          <w:szCs w:val="24"/>
        </w:rPr>
        <w:t>号</w:t>
      </w:r>
      <w:r>
        <w:rPr>
          <w:rFonts w:hint="eastAsia" w:ascii="宋体" w:hAnsi="宋体" w:eastAsia="宋体" w:cs="宋体"/>
          <w:color w:val="000000"/>
          <w:sz w:val="24"/>
          <w:szCs w:val="24"/>
        </w:rPr>
        <w:t>。项目于2018年10月开工建设，2019年10月设施安装完成，尚未投入使用。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阳原县鑫发天然气加注站</w:t>
      </w:r>
      <w:r>
        <w:rPr>
          <w:rFonts w:hint="eastAsia" w:ascii="宋体" w:hAnsi="宋体" w:eastAsia="宋体" w:cs="宋体"/>
          <w:color w:val="000000"/>
          <w:sz w:val="24"/>
          <w:szCs w:val="24"/>
        </w:rPr>
        <w:t>根据《中华人民共和国环境保护法》和</w:t>
      </w:r>
      <w:r>
        <w:rPr>
          <w:rFonts w:hint="eastAsia" w:ascii="宋体" w:hAnsi="宋体" w:eastAsia="宋体" w:cs="宋体"/>
          <w:sz w:val="24"/>
          <w:szCs w:val="24"/>
        </w:rPr>
        <w:t>《建设项目环境保护管理条例》（国务院第682号令）等有关规定，按照环境保护设施与主体工程同时设计、同时施工、同时投入使用的“三同时”制度要求，建设单位需查清工程在施工过程中对环境影响报告表和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根据</w:t>
      </w:r>
      <w:r>
        <w:rPr>
          <w:rFonts w:hint="eastAsia" w:ascii="宋体" w:hAnsi="宋体" w:eastAsia="宋体" w:cs="宋体"/>
          <w:sz w:val="24"/>
          <w:szCs w:val="24"/>
        </w:rPr>
        <w:t>张家口正德地质勘测技术服务有限公司编制的《</w:t>
      </w: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环境影响报告表》及环评审批意见，</w:t>
      </w:r>
      <w:r>
        <w:rPr>
          <w:rFonts w:hint="eastAsia" w:ascii="宋体" w:hAnsi="宋体" w:eastAsia="宋体" w:cs="宋体"/>
          <w:color w:val="000000"/>
          <w:sz w:val="24"/>
          <w:szCs w:val="24"/>
        </w:rPr>
        <w:t>本项目验收范围包括：</w:t>
      </w:r>
      <w:r>
        <w:rPr>
          <w:rFonts w:hint="eastAsia" w:ascii="宋体" w:hAnsi="宋体" w:eastAsia="宋体" w:cs="宋体"/>
          <w:color w:val="000000"/>
          <w:sz w:val="24"/>
          <w:szCs w:val="24"/>
          <w:lang w:val="en-US" w:eastAsia="zh-CN"/>
        </w:rPr>
        <w:t>站房、罩棚、储气罐、加注机、增压器等加气设备、1台0.5吨天然气锅炉</w:t>
      </w:r>
      <w:r>
        <w:rPr>
          <w:rFonts w:hint="eastAsia" w:ascii="宋体" w:hAnsi="宋体" w:eastAsia="宋体" w:cs="宋体"/>
          <w:color w:val="000000"/>
          <w:sz w:val="24"/>
          <w:szCs w:val="24"/>
        </w:rPr>
        <w:t>及相应配套设备。</w:t>
      </w:r>
      <w:r>
        <w:rPr>
          <w:rFonts w:hint="eastAsia" w:ascii="宋体" w:hAnsi="宋体" w:eastAsia="宋体" w:cs="宋体"/>
          <w:color w:val="000000"/>
          <w:sz w:val="24"/>
          <w:szCs w:val="24"/>
          <w:highlight w:val="none"/>
          <w:lang w:val="en-US" w:eastAsia="zh-CN"/>
        </w:rPr>
        <w:t>根据《河北省燃气管理办法》（河北省人民政府令[2012]第6号），“燃气设施建设工程竣工后，建设单位应当依法进行竣工验收，未经验收或者经验收不合格的，不得投入使用”。由于项目尚未投入使用，因此本次验收仅对设备进行验收，待项目运营以后再对污染物进行监测并验收。</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环保设施已建设完成的工程有：</w:t>
      </w:r>
      <w:r>
        <w:rPr>
          <w:rFonts w:hint="eastAsia" w:ascii="宋体" w:hAnsi="宋体" w:eastAsia="宋体" w:cs="宋体"/>
          <w:color w:val="000000"/>
          <w:sz w:val="24"/>
          <w:szCs w:val="24"/>
          <w:highlight w:val="none"/>
          <w:lang w:val="en-US" w:eastAsia="zh-CN"/>
        </w:rPr>
        <w:t>天然气锅炉已建设8m高排气筒；LNG泵撬已建设隔气罩；设置生活垃圾桶</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由于本项目尚未投入使用，本次验收仅对设备进行验收，待项目运营以后再对污染物进行监测并验收。因此</w:t>
      </w:r>
      <w:r>
        <w:rPr>
          <w:rFonts w:hint="eastAsia" w:ascii="宋体" w:hAnsi="宋体" w:eastAsia="宋体" w:cs="宋体"/>
          <w:color w:val="000000"/>
          <w:sz w:val="24"/>
          <w:szCs w:val="24"/>
          <w:highlight w:val="none"/>
        </w:rPr>
        <w:t>本次验收</w:t>
      </w:r>
      <w:r>
        <w:rPr>
          <w:rFonts w:hint="eastAsia" w:ascii="宋体" w:hAnsi="宋体" w:eastAsia="宋体" w:cs="宋体"/>
          <w:color w:val="000000"/>
          <w:sz w:val="24"/>
          <w:szCs w:val="24"/>
          <w:highlight w:val="none"/>
          <w:lang w:val="en-US" w:eastAsia="zh-CN"/>
        </w:rPr>
        <w:t>未进行监测。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cs="宋体"/>
          <w:sz w:val="24"/>
          <w:szCs w:val="24"/>
        </w:rPr>
        <w:t>2019年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参照环保部《建设项目竣工环境保护验收暂行办法》和河北省环境保护厅关于印发《建设项目环境影响评价文件审批及建设单位自主开展环境保护设施验收工作指引（试行）》的通知（冀环办字函（2017）727号）有关要求，开展相关验收调查工作。</w:t>
      </w:r>
      <w:r>
        <w:rPr>
          <w:rFonts w:hint="eastAsia" w:ascii="宋体" w:hAnsi="宋体" w:eastAsia="宋体" w:cs="宋体"/>
          <w:color w:val="000000"/>
          <w:sz w:val="24"/>
          <w:szCs w:val="24"/>
        </w:rPr>
        <w:t>我公司根据现场调查情况按照</w:t>
      </w:r>
      <w:r>
        <w:rPr>
          <w:rFonts w:hint="eastAsia" w:ascii="宋体" w:hAnsi="宋体" w:eastAsia="宋体" w:cs="宋体"/>
          <w:sz w:val="24"/>
          <w:szCs w:val="24"/>
        </w:rPr>
        <w:t>《建设项目竣工环境保护验收技术指南 污染影响类》</w:t>
      </w:r>
      <w:r>
        <w:rPr>
          <w:rFonts w:hint="eastAsia" w:ascii="宋体" w:hAnsi="宋体" w:eastAsia="宋体" w:cs="宋体"/>
          <w:color w:val="000000"/>
          <w:sz w:val="24"/>
          <w:szCs w:val="24"/>
        </w:rPr>
        <w:t>编制完成竣工环境保护验收报告。</w:t>
      </w:r>
    </w:p>
    <w:p>
      <w:pPr>
        <w:pStyle w:val="3"/>
        <w:keepNext w:val="0"/>
        <w:keepLines w:val="0"/>
        <w:pageBreakBefore w:val="0"/>
        <w:widowControl w:val="0"/>
        <w:kinsoku/>
        <w:wordWrap/>
        <w:overflowPunct/>
        <w:topLinePunct w:val="0"/>
        <w:autoSpaceDE/>
        <w:autoSpaceDN/>
        <w:bidi w:val="0"/>
        <w:adjustRightInd/>
        <w:snapToGrid/>
        <w:spacing w:line="480" w:lineRule="exact"/>
        <w:ind w:firstLine="0"/>
        <w:textAlignment w:val="auto"/>
        <w:rPr>
          <w:rFonts w:hint="eastAsia" w:cs="宋体"/>
        </w:rPr>
      </w:pPr>
      <w:bookmarkStart w:id="2" w:name="_Toc23573"/>
      <w:r>
        <w:rPr>
          <w:rFonts w:hint="eastAsia" w:cs="宋体"/>
        </w:rPr>
        <w:t>2 验收编制依据</w:t>
      </w:r>
      <w:bookmarkEnd w:id="2"/>
    </w:p>
    <w:p>
      <w:pPr>
        <w:pStyle w:val="4"/>
        <w:keepNext w:val="0"/>
        <w:keepLines w:val="0"/>
        <w:pageBreakBefore w:val="0"/>
        <w:widowControl w:val="0"/>
        <w:kinsoku/>
        <w:wordWrap/>
        <w:overflowPunct/>
        <w:topLinePunct w:val="0"/>
        <w:autoSpaceDE/>
        <w:autoSpaceDN/>
        <w:bidi w:val="0"/>
        <w:adjustRightInd/>
        <w:snapToGrid/>
        <w:spacing w:line="480" w:lineRule="exact"/>
        <w:ind w:firstLine="0"/>
        <w:textAlignment w:val="auto"/>
        <w:rPr>
          <w:rFonts w:hint="eastAsia" w:cs="宋体"/>
          <w:color w:val="FF0000"/>
        </w:rPr>
      </w:pPr>
      <w:bookmarkStart w:id="3" w:name="_Toc13390"/>
      <w:r>
        <w:rPr>
          <w:rFonts w:hint="eastAsia" w:cs="宋体"/>
        </w:rPr>
        <w:t>2.1法律、法规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《中华人民共和国环境保护法》，（2015年1月1日起施行）；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《中华人民共和国环境影响评价法》，（2018年12月29日起施行）；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《中华人民共和国水污染防治法》，（2018年1月1日起施行）；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《中华人民共和国大气污染防治法》，（ 2018年10月26日起施行）；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《中华人民共和国环境噪声污染防治法》，（2018年12月29日起施行）；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《中华人民共和国固体废物污染环境防治法》，（2016年11月7日起施行）；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《建设项目环境保护管理条例》，（2017年10月1日起施行）；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0"/>
        <w:textAlignment w:val="auto"/>
        <w:rPr>
          <w:rFonts w:hint="eastAsia" w:ascii="宋体" w:hAnsi="宋体" w:eastAsia="宋体" w:cs="宋体"/>
          <w:sz w:val="24"/>
          <w:szCs w:val="24"/>
        </w:rPr>
      </w:pPr>
      <w:r>
        <w:rPr>
          <w:rFonts w:hint="eastAsia" w:ascii="宋体" w:hAnsi="宋体" w:eastAsia="宋体" w:cs="宋体"/>
          <w:sz w:val="24"/>
          <w:szCs w:val="24"/>
        </w:rPr>
        <w:t>《河北省环境保护条例》，（2005年5月1日起施行）；</w:t>
      </w:r>
    </w:p>
    <w:p>
      <w:pPr>
        <w:pStyle w:val="4"/>
        <w:keepNext w:val="0"/>
        <w:keepLines w:val="0"/>
        <w:pageBreakBefore w:val="0"/>
        <w:widowControl w:val="0"/>
        <w:kinsoku/>
        <w:wordWrap/>
        <w:overflowPunct/>
        <w:topLinePunct w:val="0"/>
        <w:autoSpaceDE/>
        <w:autoSpaceDN/>
        <w:bidi w:val="0"/>
        <w:adjustRightInd/>
        <w:snapToGrid/>
        <w:spacing w:line="480" w:lineRule="exact"/>
        <w:ind w:firstLine="0"/>
        <w:textAlignment w:val="auto"/>
        <w:rPr>
          <w:rFonts w:hint="eastAsia" w:cs="宋体"/>
        </w:rPr>
      </w:pPr>
      <w:bookmarkStart w:id="4" w:name="_Toc16551"/>
      <w:r>
        <w:rPr>
          <w:rFonts w:hint="eastAsia" w:cs="宋体"/>
        </w:rPr>
        <w:t>2.2 部门规章</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《关于规范建设单位自主开展建设项目竣工环境保护验收的通知》（环境保护部）（环办环评函[2017]1235号）；</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《建设项目环境影响评价文件审批及建设单位自主开展环境保护设施验收工作指引（试行）的通知》（河北省环境保护厅）（冀环办字函〔2017〕727号）；</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《建设项目竣工环境保护验收暂行办法》（国环规环评[2017]4号）；</w:t>
      </w:r>
    </w:p>
    <w:p>
      <w:pPr>
        <w:pStyle w:val="4"/>
        <w:keepNext w:val="0"/>
        <w:keepLines w:val="0"/>
        <w:pageBreakBefore w:val="0"/>
        <w:widowControl w:val="0"/>
        <w:kinsoku/>
        <w:wordWrap/>
        <w:overflowPunct/>
        <w:topLinePunct w:val="0"/>
        <w:autoSpaceDE/>
        <w:autoSpaceDN/>
        <w:bidi w:val="0"/>
        <w:adjustRightInd/>
        <w:snapToGrid/>
        <w:spacing w:line="480" w:lineRule="exact"/>
        <w:ind w:firstLine="0"/>
        <w:textAlignment w:val="auto"/>
        <w:rPr>
          <w:rFonts w:hint="eastAsia" w:cs="宋体"/>
        </w:rPr>
      </w:pPr>
      <w:bookmarkStart w:id="5" w:name="_Toc9729"/>
      <w:r>
        <w:rPr>
          <w:rFonts w:hint="eastAsia" w:cs="宋体"/>
        </w:rPr>
        <w:t>2.3 验收技术规范</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《一般工业固体废物贮存、处置场污染控制标准》（GB18599-2001）；</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《建设项目竣工环境保护验收技术指南 污染影响类》（生态环境部 公告2018年第9号）；</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《建设项目环境影响评价分类管理名录》，（2017年9月1日起施行）；</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《关于修改&lt;建设项目环境影响评价分类管理名录&gt;部分内容的决定》修正（生态保护部令第1号，2018年4月28日）；</w:t>
      </w:r>
    </w:p>
    <w:p>
      <w:pPr>
        <w:pStyle w:val="4"/>
        <w:keepNext w:val="0"/>
        <w:keepLines w:val="0"/>
        <w:pageBreakBefore w:val="0"/>
        <w:widowControl w:val="0"/>
        <w:kinsoku/>
        <w:wordWrap/>
        <w:overflowPunct/>
        <w:topLinePunct w:val="0"/>
        <w:autoSpaceDE/>
        <w:autoSpaceDN/>
        <w:bidi w:val="0"/>
        <w:adjustRightInd/>
        <w:snapToGrid/>
        <w:spacing w:line="480" w:lineRule="exact"/>
        <w:ind w:firstLine="0"/>
        <w:textAlignment w:val="auto"/>
        <w:rPr>
          <w:rFonts w:hint="eastAsia" w:cs="宋体"/>
        </w:rPr>
      </w:pPr>
      <w:bookmarkStart w:id="6" w:name="_Toc14964"/>
      <w:r>
        <w:rPr>
          <w:rFonts w:hint="eastAsia" w:cs="宋体"/>
        </w:rPr>
        <w:t>2.4其他相关文件</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color w:val="000000"/>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环境影响报告表》（张家口正德地质勘测技术服务有限公司</w:t>
      </w:r>
      <w:r>
        <w:rPr>
          <w:rFonts w:hint="eastAsia" w:ascii="宋体" w:hAnsi="宋体" w:eastAsia="宋体" w:cs="宋体"/>
          <w:color w:val="000000"/>
          <w:sz w:val="24"/>
          <w:szCs w:val="24"/>
        </w:rPr>
        <w:t>，201</w:t>
      </w:r>
      <w:r>
        <w:rPr>
          <w:rFonts w:ascii="宋体" w:hAnsi="宋体" w:eastAsia="宋体" w:cs="宋体"/>
          <w:color w:val="000000"/>
          <w:sz w:val="24"/>
          <w:szCs w:val="24"/>
        </w:rPr>
        <w:t>8</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月）；</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firstLine="0"/>
        <w:textAlignment w:val="auto"/>
        <w:rPr>
          <w:rFonts w:hint="eastAsia" w:ascii="宋体" w:hAnsi="宋体" w:eastAsia="宋体" w:cs="宋体"/>
          <w:sz w:val="24"/>
          <w:szCs w:val="24"/>
        </w:rPr>
      </w:pPr>
      <w:r>
        <w:rPr>
          <w:rFonts w:hint="eastAsia" w:ascii="宋体" w:hAnsi="宋体" w:eastAsia="宋体" w:cs="宋体"/>
          <w:sz w:val="24"/>
          <w:szCs w:val="24"/>
        </w:rPr>
        <w:t>张家口市行政审批局关于《</w:t>
      </w: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环境影响报告表》的审批意见，审批文号：张行审立字[201</w:t>
      </w:r>
      <w:r>
        <w:rPr>
          <w:rFonts w:ascii="宋体" w:hAnsi="宋体" w:eastAsia="宋体" w:cs="宋体"/>
          <w:sz w:val="24"/>
          <w:szCs w:val="24"/>
        </w:rPr>
        <w:t>8</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ascii="宋体" w:hAnsi="宋体" w:eastAsia="宋体" w:cs="宋体"/>
          <w:sz w:val="24"/>
          <w:szCs w:val="24"/>
        </w:rPr>
        <w:t>36</w:t>
      </w:r>
      <w:r>
        <w:rPr>
          <w:rFonts w:hint="eastAsia" w:ascii="宋体" w:hAnsi="宋体" w:eastAsia="宋体" w:cs="宋体"/>
          <w:sz w:val="24"/>
          <w:szCs w:val="24"/>
        </w:rPr>
        <w:t>号</w:t>
      </w:r>
      <w:r>
        <w:rPr>
          <w:rFonts w:hint="eastAsia" w:ascii="宋体" w:hAnsi="宋体" w:eastAsia="宋体" w:cs="宋体"/>
          <w:sz w:val="24"/>
          <w:szCs w:val="24"/>
          <w:lang w:eastAsia="zh-CN"/>
        </w:rPr>
        <w:t>。</w:t>
      </w:r>
    </w:p>
    <w:p>
      <w:pPr>
        <w:spacing w:line="500" w:lineRule="exact"/>
        <w:ind w:firstLine="480" w:firstLineChars="200"/>
        <w:rPr>
          <w:rFonts w:hint="eastAsia" w:ascii="宋体" w:hAnsi="宋体" w:eastAsia="宋体" w:cs="宋体"/>
          <w:sz w:val="24"/>
          <w:szCs w:val="24"/>
        </w:rPr>
        <w:sectPr>
          <w:pgSz w:w="11906" w:h="16838"/>
          <w:pgMar w:top="1440" w:right="1800" w:bottom="1440" w:left="1800" w:header="851" w:footer="992" w:gutter="0"/>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cs="宋体"/>
        </w:rPr>
      </w:pPr>
      <w:bookmarkStart w:id="7" w:name="_Toc17545"/>
      <w:r>
        <w:rPr>
          <w:rFonts w:hint="eastAsia" w:cs="宋体"/>
        </w:rPr>
        <w:t>3 项目建设情况</w:t>
      </w:r>
      <w:bookmarkEnd w:id="7"/>
    </w:p>
    <w:p>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cs="宋体"/>
        </w:rPr>
      </w:pPr>
      <w:bookmarkStart w:id="8" w:name="_Toc20782"/>
      <w:r>
        <w:rPr>
          <w:rFonts w:hint="eastAsia" w:cs="宋体"/>
        </w:rPr>
        <w:t>3.1地理位置及平面布置</w:t>
      </w:r>
      <w:bookmarkEnd w:id="8"/>
    </w:p>
    <w:p>
      <w:pPr>
        <w:pStyle w:val="5"/>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cs="宋体"/>
          <w:b/>
        </w:rPr>
      </w:pPr>
      <w:bookmarkStart w:id="9" w:name="_Toc516212499"/>
      <w:bookmarkStart w:id="10" w:name="_Toc516141729"/>
      <w:bookmarkStart w:id="11" w:name="_Toc496979001"/>
      <w:bookmarkStart w:id="12" w:name="_Toc26371"/>
      <w:bookmarkStart w:id="13" w:name="_Toc509933843"/>
      <w:bookmarkStart w:id="14" w:name="_Toc497001437"/>
      <w:bookmarkStart w:id="15" w:name="_Toc516142931"/>
      <w:bookmarkStart w:id="16" w:name="_Toc516158202"/>
      <w:bookmarkStart w:id="17" w:name="_Toc18689"/>
      <w:bookmarkStart w:id="18" w:name="_Toc509824275"/>
      <w:r>
        <w:rPr>
          <w:rFonts w:hint="eastAsia" w:cs="宋体"/>
          <w:b/>
        </w:rPr>
        <w:t>3.1.1 地理位置及周边情况</w:t>
      </w:r>
      <w:bookmarkEnd w:id="9"/>
      <w:bookmarkEnd w:id="10"/>
      <w:bookmarkEnd w:id="11"/>
      <w:bookmarkEnd w:id="12"/>
      <w:bookmarkEnd w:id="13"/>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本项目位于</w:t>
      </w:r>
      <w:r>
        <w:rPr>
          <w:rFonts w:hint="eastAsia" w:ascii="宋体" w:hAnsi="宋体" w:eastAsia="宋体" w:cs="宋体"/>
          <w:sz w:val="24"/>
          <w:szCs w:val="24"/>
          <w:lang w:eastAsia="zh-CN"/>
        </w:rPr>
        <w:t>阳原县东井集镇拣花堡村109国道以北</w:t>
      </w:r>
      <w:r>
        <w:rPr>
          <w:rFonts w:hint="eastAsia" w:ascii="宋体" w:hAnsi="宋体" w:eastAsia="宋体" w:cs="宋体"/>
          <w:sz w:val="24"/>
          <w:szCs w:val="24"/>
        </w:rPr>
        <w:t>。</w:t>
      </w:r>
      <w:r>
        <w:rPr>
          <w:rFonts w:hint="eastAsia" w:ascii="宋体" w:hAnsi="宋体" w:eastAsia="宋体" w:cs="宋体"/>
          <w:color w:val="000000"/>
          <w:sz w:val="24"/>
          <w:szCs w:val="24"/>
        </w:rPr>
        <w:t>厂区中心地理坐标为东经114°</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35</w:t>
      </w:r>
      <w:r>
        <w:rPr>
          <w:rFonts w:hint="eastAsia" w:ascii="宋体" w:hAnsi="宋体" w:eastAsia="宋体" w:cs="宋体"/>
          <w:color w:val="000000"/>
          <w:sz w:val="24"/>
          <w:szCs w:val="24"/>
        </w:rPr>
        <w:t>″，北纬</w:t>
      </w:r>
      <w:r>
        <w:rPr>
          <w:rFonts w:hint="eastAsia" w:ascii="宋体" w:hAnsi="宋体" w:eastAsia="宋体" w:cs="宋体"/>
          <w:color w:val="000000"/>
          <w:sz w:val="24"/>
          <w:szCs w:val="24"/>
          <w:lang w:val="en-US" w:eastAsia="zh-CN"/>
        </w:rPr>
        <w:t>40</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″。项目东侧为</w:t>
      </w:r>
      <w:r>
        <w:rPr>
          <w:rFonts w:hint="eastAsia" w:ascii="宋体" w:hAnsi="宋体" w:eastAsia="宋体" w:cs="宋体"/>
          <w:color w:val="000000"/>
          <w:sz w:val="24"/>
          <w:szCs w:val="24"/>
          <w:lang w:val="en-US" w:eastAsia="zh-CN"/>
        </w:rPr>
        <w:t>鑫发加油站</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南</w:t>
      </w:r>
      <w:r>
        <w:rPr>
          <w:rFonts w:hint="eastAsia" w:ascii="宋体" w:hAnsi="宋体" w:eastAsia="宋体" w:cs="宋体"/>
          <w:color w:val="000000"/>
          <w:sz w:val="24"/>
          <w:szCs w:val="24"/>
        </w:rPr>
        <w:t>侧为</w:t>
      </w:r>
      <w:r>
        <w:rPr>
          <w:rFonts w:hint="eastAsia" w:ascii="宋体" w:hAnsi="宋体" w:eastAsia="宋体" w:cs="宋体"/>
          <w:color w:val="000000"/>
          <w:sz w:val="24"/>
          <w:szCs w:val="24"/>
          <w:lang w:val="en-US" w:eastAsia="zh-CN"/>
        </w:rPr>
        <w:t>109国道</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西侧</w:t>
      </w:r>
      <w:r>
        <w:rPr>
          <w:rFonts w:hint="eastAsia" w:ascii="宋体" w:hAnsi="宋体" w:eastAsia="宋体" w:cs="宋体"/>
          <w:color w:val="000000"/>
          <w:sz w:val="24"/>
          <w:szCs w:val="24"/>
        </w:rPr>
        <w:t>为</w:t>
      </w:r>
      <w:r>
        <w:rPr>
          <w:rFonts w:hint="eastAsia" w:ascii="宋体" w:hAnsi="宋体" w:eastAsia="宋体" w:cs="宋体"/>
          <w:color w:val="000000"/>
          <w:sz w:val="24"/>
          <w:szCs w:val="24"/>
          <w:lang w:val="en-US" w:eastAsia="zh-CN"/>
        </w:rPr>
        <w:t>空地</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北</w:t>
      </w:r>
      <w:r>
        <w:rPr>
          <w:rFonts w:hint="eastAsia" w:ascii="宋体" w:hAnsi="宋体" w:eastAsia="宋体" w:cs="宋体"/>
          <w:color w:val="000000"/>
          <w:sz w:val="24"/>
          <w:szCs w:val="24"/>
        </w:rPr>
        <w:t>侧</w:t>
      </w:r>
      <w:r>
        <w:rPr>
          <w:rFonts w:hint="eastAsia" w:ascii="宋体" w:hAnsi="宋体" w:eastAsia="宋体" w:cs="宋体"/>
          <w:color w:val="000000"/>
          <w:sz w:val="24"/>
          <w:szCs w:val="24"/>
          <w:lang w:val="en-US" w:eastAsia="zh-CN"/>
        </w:rPr>
        <w:t>178m处</w:t>
      </w:r>
      <w:r>
        <w:rPr>
          <w:rFonts w:hint="eastAsia" w:ascii="宋体" w:hAnsi="宋体" w:eastAsia="宋体" w:cs="宋体"/>
          <w:color w:val="000000"/>
          <w:sz w:val="24"/>
          <w:szCs w:val="24"/>
        </w:rPr>
        <w:t>为</w:t>
      </w:r>
      <w:r>
        <w:rPr>
          <w:rFonts w:hint="eastAsia" w:ascii="宋体" w:hAnsi="宋体" w:eastAsia="宋体" w:cs="宋体"/>
          <w:color w:val="000000"/>
          <w:sz w:val="24"/>
          <w:szCs w:val="24"/>
          <w:lang w:val="en-US" w:eastAsia="zh-CN"/>
        </w:rPr>
        <w:t>顾家营</w:t>
      </w:r>
      <w:r>
        <w:rPr>
          <w:rFonts w:hint="eastAsia" w:ascii="宋体" w:hAnsi="宋体" w:eastAsia="宋体" w:cs="宋体"/>
          <w:color w:val="000000"/>
          <w:sz w:val="24"/>
          <w:szCs w:val="24"/>
        </w:rPr>
        <w:t>。</w:t>
      </w:r>
      <w:r>
        <w:rPr>
          <w:rFonts w:hint="eastAsia" w:ascii="宋体" w:hAnsi="宋体" w:eastAsia="宋体" w:cs="宋体"/>
          <w:sz w:val="24"/>
          <w:szCs w:val="24"/>
        </w:rPr>
        <w:t>项目地理位置图见附图1，周边关系图见附图2。</w:t>
      </w:r>
    </w:p>
    <w:p>
      <w:pPr>
        <w:pStyle w:val="5"/>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cs="宋体"/>
          <w:b/>
        </w:rPr>
      </w:pPr>
      <w:bookmarkStart w:id="19" w:name="_Toc516141730"/>
      <w:bookmarkStart w:id="20" w:name="_Toc509824276"/>
      <w:bookmarkStart w:id="21" w:name="_Toc516158203"/>
      <w:bookmarkStart w:id="22" w:name="_Toc516212500"/>
      <w:bookmarkStart w:id="23" w:name="_Toc497001438"/>
      <w:bookmarkStart w:id="24" w:name="_Toc31977"/>
      <w:bookmarkStart w:id="25" w:name="_Toc496979002"/>
      <w:bookmarkStart w:id="26" w:name="_Toc516142932"/>
      <w:bookmarkStart w:id="27" w:name="_Toc509933844"/>
      <w:bookmarkStart w:id="28" w:name="_Toc13703"/>
      <w:r>
        <w:rPr>
          <w:rFonts w:hint="eastAsia" w:cs="宋体"/>
          <w:b/>
        </w:rPr>
        <w:t>3.1.2 厂区平面布置</w:t>
      </w:r>
      <w:bookmarkEnd w:id="19"/>
      <w:bookmarkEnd w:id="20"/>
      <w:bookmarkEnd w:id="21"/>
      <w:bookmarkEnd w:id="22"/>
      <w:bookmarkEnd w:id="23"/>
      <w:bookmarkEnd w:id="24"/>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项目平面布置图见附图3。</w:t>
      </w:r>
    </w:p>
    <w:p>
      <w:pPr>
        <w:pStyle w:val="4"/>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cs="宋体"/>
        </w:rPr>
      </w:pPr>
      <w:bookmarkStart w:id="29" w:name="_Toc21746"/>
      <w:r>
        <w:rPr>
          <w:rFonts w:hint="eastAsia" w:cs="宋体"/>
        </w:rPr>
        <w:t>3.2 建设内容</w:t>
      </w:r>
      <w:bookmarkEnd w:id="29"/>
    </w:p>
    <w:p>
      <w:pPr>
        <w:pStyle w:val="5"/>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cs="宋体"/>
          <w:b/>
        </w:rPr>
      </w:pPr>
      <w:bookmarkStart w:id="30" w:name="_Toc516158205"/>
      <w:bookmarkStart w:id="31" w:name="_Toc516142934"/>
      <w:bookmarkStart w:id="32" w:name="_Toc28558"/>
      <w:bookmarkStart w:id="33" w:name="_Toc24536"/>
      <w:bookmarkStart w:id="34" w:name="_Toc516212502"/>
      <w:bookmarkStart w:id="35" w:name="_Toc516141732"/>
      <w:r>
        <w:rPr>
          <w:rFonts w:hint="eastAsia" w:cs="宋体"/>
          <w:b/>
        </w:rPr>
        <w:t>3.2.1 建设内容</w:t>
      </w:r>
      <w:bookmarkEnd w:id="30"/>
      <w:bookmarkEnd w:id="31"/>
      <w:bookmarkEnd w:id="32"/>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建设</w:t>
      </w:r>
      <w:r>
        <w:rPr>
          <w:rFonts w:hint="eastAsia" w:ascii="宋体" w:hAnsi="宋体" w:eastAsia="宋体" w:cs="宋体"/>
          <w:color w:val="000000"/>
          <w:sz w:val="24"/>
          <w:szCs w:val="24"/>
          <w:lang w:val="en-US" w:eastAsia="zh-CN"/>
        </w:rPr>
        <w:t>站房、罩棚、储气罐、加注机、增压器等加气设备、1台0.5吨天然气锅炉</w:t>
      </w:r>
      <w:r>
        <w:rPr>
          <w:rFonts w:hint="eastAsia" w:ascii="宋体" w:hAnsi="宋体" w:eastAsia="宋体" w:cs="宋体"/>
          <w:color w:val="000000"/>
          <w:sz w:val="24"/>
          <w:szCs w:val="24"/>
        </w:rPr>
        <w:t>及相应配套设备</w:t>
      </w:r>
      <w:r>
        <w:rPr>
          <w:rFonts w:hint="eastAsia" w:ascii="宋体" w:hAnsi="宋体" w:eastAsia="宋体" w:cs="宋体"/>
          <w:sz w:val="24"/>
          <w:szCs w:val="24"/>
        </w:rPr>
        <w:t>。</w:t>
      </w:r>
      <w:r>
        <w:rPr>
          <w:rFonts w:hint="eastAsia" w:ascii="宋体" w:hAnsi="宋体" w:eastAsia="宋体" w:cs="宋体"/>
          <w:sz w:val="24"/>
          <w:szCs w:val="24"/>
          <w:highlight w:val="none"/>
        </w:rPr>
        <w:t>项目具体建设内容及验收内容见表3-1。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宋体" w:hAnsi="宋体" w:eastAsia="宋体" w:cs="宋体"/>
          <w:b/>
          <w:sz w:val="24"/>
          <w:szCs w:val="24"/>
        </w:rPr>
      </w:pPr>
      <w:r>
        <w:rPr>
          <w:rFonts w:hint="eastAsia" w:ascii="宋体" w:hAnsi="宋体" w:eastAsia="宋体" w:cs="宋体"/>
          <w:b/>
          <w:sz w:val="24"/>
          <w:szCs w:val="24"/>
        </w:rPr>
        <w:t>表3-1 建设项目组成一览表</w:t>
      </w:r>
    </w:p>
    <w:tbl>
      <w:tblPr>
        <w:tblStyle w:val="30"/>
        <w:tblW w:w="10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706"/>
        <w:gridCol w:w="4062"/>
        <w:gridCol w:w="3280"/>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bookmarkStart w:id="36" w:name="_Hlk8075315"/>
            <w:r>
              <w:rPr>
                <w:rFonts w:hint="eastAsia" w:ascii="宋体" w:hAnsi="宋体" w:eastAsia="宋体" w:cs="宋体"/>
                <w:sz w:val="21"/>
                <w:szCs w:val="21"/>
              </w:rPr>
              <w:t>工程</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类别</w:t>
            </w: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工程</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名称</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原环评建设规模及内容</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项目实际建设规模及内容</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主体</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工程</w:t>
            </w: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站房</w:t>
            </w:r>
          </w:p>
        </w:tc>
        <w:tc>
          <w:tcPr>
            <w:tcW w:w="406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建筑面积342.72m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vertAlign w:val="baseline"/>
                <w:lang w:val="en-US" w:eastAsia="zh-CN"/>
              </w:rPr>
              <w:t>，</w:t>
            </w:r>
            <w:r>
              <w:rPr>
                <w:rFonts w:hint="eastAsia" w:ascii="宋体" w:hAnsi="宋体" w:eastAsia="宋体" w:cs="宋体"/>
                <w:kern w:val="0"/>
                <w:sz w:val="21"/>
                <w:szCs w:val="21"/>
                <w:lang w:val="en-US" w:eastAsia="zh-CN"/>
              </w:rPr>
              <w:t>砖混结构（包括办公室、值班室、营业室）</w:t>
            </w:r>
          </w:p>
        </w:tc>
        <w:tc>
          <w:tcPr>
            <w:tcW w:w="328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建筑面积395.83m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vertAlign w:val="baseline"/>
                <w:lang w:val="en-US" w:eastAsia="zh-CN"/>
              </w:rPr>
              <w:t>，</w:t>
            </w:r>
            <w:r>
              <w:rPr>
                <w:rFonts w:hint="eastAsia" w:ascii="宋体" w:hAnsi="宋体" w:eastAsia="宋体" w:cs="宋体"/>
                <w:kern w:val="0"/>
                <w:sz w:val="21"/>
                <w:szCs w:val="21"/>
                <w:lang w:val="en-US" w:eastAsia="zh-CN"/>
              </w:rPr>
              <w:t>砖混结构（包括办公室、值班室、营业室）</w:t>
            </w:r>
          </w:p>
        </w:tc>
        <w:tc>
          <w:tcPr>
            <w:tcW w:w="211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建筑面积增加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罩棚</w:t>
            </w:r>
          </w:p>
        </w:tc>
        <w:tc>
          <w:tcPr>
            <w:tcW w:w="406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建筑面积1360m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lang w:val="en-US" w:eastAsia="zh-CN"/>
              </w:rPr>
              <w:t>网架构</w:t>
            </w:r>
          </w:p>
        </w:tc>
        <w:tc>
          <w:tcPr>
            <w:tcW w:w="328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建筑面积1360m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lang w:val="en-US" w:eastAsia="zh-CN"/>
              </w:rPr>
              <w:t>网架构</w:t>
            </w:r>
          </w:p>
        </w:tc>
        <w:tc>
          <w:tcPr>
            <w:tcW w:w="211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LNG加气站</w:t>
            </w:r>
          </w:p>
        </w:tc>
        <w:tc>
          <w:tcPr>
            <w:tcW w:w="406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6台LNG加注机、3台60m</w:t>
            </w:r>
            <w:r>
              <w:rPr>
                <w:rFonts w:hint="eastAsia" w:ascii="宋体" w:hAnsi="宋体" w:eastAsia="宋体" w:cs="宋体"/>
                <w:kern w:val="0"/>
                <w:sz w:val="21"/>
                <w:szCs w:val="21"/>
                <w:vertAlign w:val="superscript"/>
                <w:lang w:val="en-US" w:eastAsia="zh-CN"/>
              </w:rPr>
              <w:t>3</w:t>
            </w:r>
            <w:r>
              <w:rPr>
                <w:rFonts w:hint="eastAsia" w:ascii="宋体" w:hAnsi="宋体" w:eastAsia="宋体" w:cs="宋体"/>
                <w:kern w:val="0"/>
                <w:sz w:val="21"/>
                <w:szCs w:val="21"/>
                <w:lang w:val="en-US" w:eastAsia="zh-CN"/>
              </w:rPr>
              <w:t>LNG低温储罐</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配置3台LNG潜液泵、3台增压器、1台EAG加热器、1台BOG加热器、1台BOG回收撬，站内建设混凝土地面并安装安全监控系统、可燃气体报警系统、信息监控系统，除北侧外三面设不低于2.2m高非燃烧实体围墙</w:t>
            </w:r>
          </w:p>
        </w:tc>
        <w:tc>
          <w:tcPr>
            <w:tcW w:w="328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highlight w:val="none"/>
                <w:lang w:val="en-US" w:eastAsia="zh-CN"/>
              </w:rPr>
              <w:t>4台LNG加注机、3台60m</w:t>
            </w:r>
            <w:r>
              <w:rPr>
                <w:rFonts w:hint="eastAsia" w:ascii="宋体" w:hAnsi="宋体" w:eastAsia="宋体" w:cs="宋体"/>
                <w:kern w:val="0"/>
                <w:sz w:val="21"/>
                <w:szCs w:val="21"/>
                <w:highlight w:val="none"/>
                <w:vertAlign w:val="superscript"/>
                <w:lang w:val="en-US" w:eastAsia="zh-CN"/>
              </w:rPr>
              <w:t>3</w:t>
            </w:r>
            <w:r>
              <w:rPr>
                <w:rFonts w:hint="eastAsia" w:ascii="宋体" w:hAnsi="宋体" w:eastAsia="宋体" w:cs="宋体"/>
                <w:kern w:val="0"/>
                <w:sz w:val="21"/>
                <w:szCs w:val="21"/>
                <w:highlight w:val="none"/>
                <w:lang w:val="en-US" w:eastAsia="zh-CN"/>
              </w:rPr>
              <w:t>LNG低温储罐、配置2台LNG泵撬、2台增压汽化器、2台EAG汽化器、1台BOG回收撬，站内建设混凝土地面并安装安全监控系统、可燃气体报警系统、信息监控系统</w:t>
            </w:r>
          </w:p>
        </w:tc>
        <w:tc>
          <w:tcPr>
            <w:tcW w:w="2111"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预留2台LNG加注机、1台LNG泵撬、1台增压汽化器、1台EAG汽化器、与周边建筑物距离满足防护距离，因此无需建设非燃烧实体围墙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辅助</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工程</w:t>
            </w: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消防</w:t>
            </w:r>
          </w:p>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w:t>
            </w:r>
          </w:p>
        </w:tc>
        <w:tc>
          <w:tcPr>
            <w:tcW w:w="406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lang w:val="en-US" w:eastAsia="zh-CN"/>
              </w:rPr>
              <w:t>配备干粉等灭火器及消防设施建设</w:t>
            </w:r>
          </w:p>
        </w:tc>
        <w:tc>
          <w:tcPr>
            <w:tcW w:w="328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宋体" w:hAnsi="宋体" w:eastAsia="宋体" w:cs="宋体"/>
                <w:kern w:val="0"/>
                <w:sz w:val="21"/>
                <w:szCs w:val="21"/>
                <w:highlight w:val="yellow"/>
                <w:lang w:val="en-US" w:eastAsia="zh-CN"/>
              </w:rPr>
            </w:pPr>
            <w:r>
              <w:rPr>
                <w:rFonts w:hint="eastAsia" w:ascii="宋体" w:hAnsi="宋体" w:eastAsia="宋体" w:cs="宋体"/>
                <w:kern w:val="0"/>
                <w:sz w:val="21"/>
                <w:szCs w:val="21"/>
                <w:lang w:val="en-US" w:eastAsia="zh-CN"/>
              </w:rPr>
              <w:t>已配备相应灭火器及消防设施，建设消防水池，面积为110.96m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vertAlign w:val="baseline"/>
                <w:lang w:val="en-US" w:eastAsia="zh-CN"/>
              </w:rPr>
              <w:t>,体积为264m</w:t>
            </w:r>
            <w:r>
              <w:rPr>
                <w:rFonts w:hint="eastAsia" w:ascii="宋体" w:hAnsi="宋体" w:eastAsia="宋体" w:cs="宋体"/>
                <w:kern w:val="0"/>
                <w:sz w:val="21"/>
                <w:szCs w:val="21"/>
                <w:vertAlign w:val="superscript"/>
                <w:lang w:val="en-US" w:eastAsia="zh-CN"/>
              </w:rPr>
              <w:t>3</w:t>
            </w:r>
            <w:r>
              <w:rPr>
                <w:rFonts w:hint="eastAsia" w:ascii="宋体" w:hAnsi="宋体" w:eastAsia="宋体" w:cs="宋体"/>
                <w:kern w:val="0"/>
                <w:sz w:val="21"/>
                <w:szCs w:val="21"/>
                <w:vertAlign w:val="baseline"/>
                <w:lang w:val="en-US" w:eastAsia="zh-CN"/>
              </w:rPr>
              <w:t>，有效容积为220m</w:t>
            </w:r>
            <w:r>
              <w:rPr>
                <w:rFonts w:hint="eastAsia" w:ascii="宋体" w:hAnsi="宋体" w:eastAsia="宋体" w:cs="宋体"/>
                <w:kern w:val="0"/>
                <w:sz w:val="21"/>
                <w:szCs w:val="21"/>
                <w:vertAlign w:val="superscript"/>
                <w:lang w:val="en-US" w:eastAsia="zh-CN"/>
              </w:rPr>
              <w:t>3</w:t>
            </w:r>
          </w:p>
        </w:tc>
        <w:tc>
          <w:tcPr>
            <w:tcW w:w="2111"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电气</w:t>
            </w:r>
          </w:p>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w:t>
            </w:r>
          </w:p>
        </w:tc>
        <w:tc>
          <w:tcPr>
            <w:tcW w:w="406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按照动力系统功率及安全设计配备电气系统</w:t>
            </w:r>
          </w:p>
        </w:tc>
        <w:tc>
          <w:tcPr>
            <w:tcW w:w="328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已按照相应规范设计配备电气系统</w:t>
            </w:r>
          </w:p>
        </w:tc>
        <w:tc>
          <w:tcPr>
            <w:tcW w:w="2111"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自动控制系统</w:t>
            </w:r>
          </w:p>
        </w:tc>
        <w:tc>
          <w:tcPr>
            <w:tcW w:w="406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采用PLC柜对卸气、加压、售气采用计算机自动控制</w:t>
            </w:r>
          </w:p>
        </w:tc>
        <w:tc>
          <w:tcPr>
            <w:tcW w:w="328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采用PLC柜对卸气、加压、售气采用计算机自动控制</w:t>
            </w:r>
          </w:p>
        </w:tc>
        <w:tc>
          <w:tcPr>
            <w:tcW w:w="2111"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公用</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工程</w:t>
            </w: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给水</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由鑫发加油站供给</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 w:val="21"/>
                <w:szCs w:val="21"/>
              </w:rPr>
            </w:pPr>
            <w:r>
              <w:rPr>
                <w:rFonts w:hint="eastAsia" w:ascii="宋体" w:hAnsi="宋体" w:eastAsia="宋体" w:cs="宋体"/>
                <w:sz w:val="21"/>
                <w:szCs w:val="21"/>
                <w:lang w:val="en-US" w:eastAsia="zh-CN"/>
              </w:rPr>
              <w:t>由鑫发加油站供给</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排水</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生活污水排入防渗旱厕，定期清掏，用作农家肥</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生活污水排入防渗旱厕，定期清掏，用作农家肥</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供电</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rPr>
              <w:t>由</w:t>
            </w:r>
            <w:r>
              <w:rPr>
                <w:rFonts w:hint="eastAsia" w:ascii="宋体" w:hAnsi="宋体" w:eastAsia="宋体" w:cs="宋体"/>
                <w:sz w:val="21"/>
                <w:szCs w:val="21"/>
                <w:lang w:val="en-US" w:eastAsia="zh-CN"/>
              </w:rPr>
              <w:t>东井集镇供电所提供</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由</w:t>
            </w:r>
            <w:r>
              <w:rPr>
                <w:rFonts w:hint="eastAsia" w:ascii="宋体" w:hAnsi="宋体" w:eastAsia="宋体" w:cs="宋体"/>
                <w:sz w:val="21"/>
                <w:szCs w:val="21"/>
                <w:lang w:val="en-US" w:eastAsia="zh-CN"/>
              </w:rPr>
              <w:t>东井集镇供电所提供</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供暖</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由1台0.5t的燃气锅炉提供</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由1台0.5t的燃气锅炉提供</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环保</w:t>
            </w:r>
          </w:p>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工程</w:t>
            </w: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 w:val="21"/>
                <w:szCs w:val="21"/>
              </w:rPr>
            </w:pPr>
            <w:r>
              <w:rPr>
                <w:rFonts w:hint="eastAsia" w:ascii="宋体" w:hAnsi="宋体" w:eastAsia="宋体" w:cs="宋体"/>
                <w:kern w:val="0"/>
                <w:sz w:val="21"/>
                <w:szCs w:val="21"/>
              </w:rPr>
              <w:t>废气</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锅炉废气经1根8m高排气筒排放</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锅炉废气经1根8m高排气筒排放</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highlight w:val="yellow"/>
              </w:rPr>
            </w:pPr>
            <w:r>
              <w:rPr>
                <w:rFonts w:hint="eastAsia" w:ascii="宋体" w:hAnsi="宋体" w:eastAsia="宋体" w:cs="宋体"/>
                <w:kern w:val="0"/>
                <w:sz w:val="21"/>
                <w:szCs w:val="21"/>
              </w:rPr>
              <w:t>废水</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highlight w:val="yellow"/>
                <w:lang w:val="en-US" w:eastAsia="zh-CN"/>
              </w:rPr>
            </w:pPr>
            <w:r>
              <w:rPr>
                <w:rFonts w:hint="eastAsia" w:ascii="宋体" w:hAnsi="宋体" w:eastAsia="宋体" w:cs="宋体"/>
                <w:kern w:val="0"/>
                <w:sz w:val="21"/>
                <w:szCs w:val="21"/>
              </w:rPr>
              <w:t>项目无生产废水产生，</w:t>
            </w:r>
            <w:r>
              <w:rPr>
                <w:rFonts w:hint="eastAsia" w:ascii="宋体" w:hAnsi="宋体" w:eastAsia="宋体" w:cs="宋体"/>
                <w:sz w:val="21"/>
                <w:szCs w:val="21"/>
              </w:rPr>
              <w:t>生活污水排入</w:t>
            </w:r>
            <w:r>
              <w:rPr>
                <w:rFonts w:hint="eastAsia" w:ascii="宋体" w:hAnsi="宋体" w:eastAsia="宋体" w:cs="宋体"/>
                <w:sz w:val="21"/>
                <w:szCs w:val="21"/>
                <w:lang w:val="en-US" w:eastAsia="zh-CN"/>
              </w:rPr>
              <w:t>防渗旱厕，定期清掏，用作农家肥</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highlight w:val="yellow"/>
              </w:rPr>
            </w:pPr>
            <w:r>
              <w:rPr>
                <w:rFonts w:hint="eastAsia" w:ascii="宋体" w:hAnsi="宋体" w:eastAsia="宋体" w:cs="宋体"/>
                <w:kern w:val="0"/>
                <w:sz w:val="21"/>
                <w:szCs w:val="21"/>
              </w:rPr>
              <w:t>项目无生产废水产生，</w:t>
            </w:r>
            <w:r>
              <w:rPr>
                <w:rFonts w:hint="eastAsia" w:ascii="宋体" w:hAnsi="宋体" w:eastAsia="宋体" w:cs="宋体"/>
                <w:sz w:val="21"/>
                <w:szCs w:val="21"/>
              </w:rPr>
              <w:t>生活污水排入</w:t>
            </w:r>
            <w:r>
              <w:rPr>
                <w:rFonts w:hint="eastAsia" w:ascii="宋体" w:hAnsi="宋体" w:eastAsia="宋体" w:cs="宋体"/>
                <w:sz w:val="21"/>
                <w:szCs w:val="21"/>
                <w:lang w:val="en-US" w:eastAsia="zh-CN"/>
              </w:rPr>
              <w:t>防渗旱厕，定期清掏，用作农家肥</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kern w:val="0"/>
                <w:sz w:val="21"/>
                <w:szCs w:val="21"/>
              </w:rPr>
              <w:t>噪声</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kern w:val="0"/>
                <w:sz w:val="21"/>
                <w:szCs w:val="21"/>
              </w:rPr>
              <w:t>选用低噪声设备，</w:t>
            </w:r>
            <w:r>
              <w:rPr>
                <w:rFonts w:hint="eastAsia" w:ascii="宋体" w:hAnsi="宋体" w:eastAsia="宋体" w:cs="宋体"/>
                <w:kern w:val="0"/>
                <w:sz w:val="21"/>
                <w:szCs w:val="21"/>
                <w:lang w:val="en-US" w:eastAsia="zh-CN"/>
              </w:rPr>
              <w:t>置于隔声罩内</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kern w:val="0"/>
                <w:sz w:val="21"/>
                <w:szCs w:val="21"/>
              </w:rPr>
              <w:t>选用低噪声设备，</w:t>
            </w:r>
            <w:r>
              <w:rPr>
                <w:rFonts w:hint="eastAsia" w:ascii="宋体" w:hAnsi="宋体" w:eastAsia="宋体" w:cs="宋体"/>
                <w:kern w:val="0"/>
                <w:sz w:val="21"/>
                <w:szCs w:val="21"/>
                <w:lang w:val="en-US" w:eastAsia="zh-CN"/>
              </w:rPr>
              <w:t>置于隔声罩内</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kern w:val="0"/>
                <w:sz w:val="21"/>
                <w:szCs w:val="21"/>
              </w:rPr>
              <w:t>固废</w:t>
            </w:r>
          </w:p>
        </w:tc>
        <w:tc>
          <w:tcPr>
            <w:tcW w:w="40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rPr>
              <w:t>设置生活垃圾桶</w:t>
            </w:r>
          </w:p>
        </w:tc>
        <w:tc>
          <w:tcPr>
            <w:tcW w:w="3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kern w:val="0"/>
                <w:sz w:val="21"/>
                <w:szCs w:val="21"/>
                <w:lang w:val="en-US" w:eastAsia="zh-CN"/>
              </w:rPr>
              <w:t>设置生活垃圾桶</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与环评一致</w:t>
            </w:r>
          </w:p>
        </w:tc>
      </w:tr>
      <w:bookmarkEnd w:id="36"/>
    </w:tbl>
    <w:p>
      <w:pPr>
        <w:pStyle w:val="5"/>
        <w:spacing w:line="460" w:lineRule="exact"/>
        <w:ind w:firstLine="480" w:firstLineChars="200"/>
        <w:rPr>
          <w:rFonts w:hint="eastAsia" w:cs="宋体"/>
          <w:b/>
        </w:rPr>
      </w:pPr>
      <w:bookmarkStart w:id="37" w:name="_Toc516212503"/>
      <w:bookmarkStart w:id="38" w:name="_Toc516142935"/>
      <w:bookmarkStart w:id="39" w:name="_Toc516158206"/>
      <w:bookmarkStart w:id="40" w:name="_Toc9620"/>
      <w:bookmarkStart w:id="41" w:name="_Toc14818"/>
      <w:bookmarkStart w:id="42" w:name="_Toc516141733"/>
      <w:r>
        <w:rPr>
          <w:rFonts w:hint="eastAsia" w:cs="宋体"/>
          <w:b/>
        </w:rPr>
        <w:t>3.2.2 产品规模</w:t>
      </w:r>
      <w:bookmarkEnd w:id="37"/>
      <w:bookmarkEnd w:id="38"/>
      <w:bookmarkEnd w:id="39"/>
      <w:bookmarkEnd w:id="40"/>
      <w:bookmarkEnd w:id="41"/>
      <w:bookmarkEnd w:id="42"/>
    </w:p>
    <w:p>
      <w:pPr>
        <w:spacing w:line="46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LNG年加气量为2625万Nm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/a</w:t>
      </w:r>
      <w:r>
        <w:rPr>
          <w:rFonts w:hint="eastAsia" w:ascii="宋体" w:hAnsi="宋体" w:eastAsia="宋体" w:cs="宋体"/>
          <w:sz w:val="24"/>
          <w:szCs w:val="24"/>
        </w:rPr>
        <w:t>。</w:t>
      </w:r>
    </w:p>
    <w:p>
      <w:pPr>
        <w:pStyle w:val="5"/>
        <w:spacing w:line="460" w:lineRule="exact"/>
        <w:ind w:firstLine="480" w:firstLineChars="200"/>
        <w:rPr>
          <w:rFonts w:hint="eastAsia" w:cs="宋体"/>
          <w:b/>
        </w:rPr>
      </w:pPr>
      <w:bookmarkStart w:id="43" w:name="_Toc713"/>
      <w:bookmarkStart w:id="44" w:name="_Toc15934"/>
      <w:r>
        <w:rPr>
          <w:rFonts w:hint="eastAsia" w:cs="宋体"/>
          <w:b/>
        </w:rPr>
        <w:t>3.2.3 主要设备</w:t>
      </w:r>
      <w:bookmarkEnd w:id="43"/>
      <w:bookmarkEnd w:id="44"/>
    </w:p>
    <w:p>
      <w:pPr>
        <w:spacing w:line="500" w:lineRule="exact"/>
        <w:ind w:firstLine="480"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表3-2 主要设备一览表</w:t>
      </w:r>
    </w:p>
    <w:tbl>
      <w:tblPr>
        <w:tblStyle w:val="30"/>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939"/>
        <w:gridCol w:w="2065"/>
        <w:gridCol w:w="1177"/>
        <w:gridCol w:w="935"/>
        <w:gridCol w:w="2107"/>
        <w:gridCol w:w="1062"/>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序号</w:t>
            </w:r>
          </w:p>
        </w:tc>
        <w:tc>
          <w:tcPr>
            <w:tcW w:w="4181" w:type="dxa"/>
            <w:gridSpan w:val="3"/>
            <w:vAlign w:val="center"/>
          </w:tcPr>
          <w:p>
            <w:pPr>
              <w:jc w:val="center"/>
              <w:rPr>
                <w:rFonts w:hint="eastAsia" w:ascii="宋体" w:hAnsi="宋体" w:eastAsia="宋体" w:cs="宋体"/>
                <w:szCs w:val="21"/>
              </w:rPr>
            </w:pPr>
            <w:r>
              <w:rPr>
                <w:rFonts w:hint="eastAsia" w:ascii="宋体" w:hAnsi="宋体" w:eastAsia="宋体" w:cs="宋体"/>
                <w:szCs w:val="21"/>
              </w:rPr>
              <w:t>原环评要求安装设备</w:t>
            </w:r>
          </w:p>
        </w:tc>
        <w:tc>
          <w:tcPr>
            <w:tcW w:w="4104" w:type="dxa"/>
            <w:gridSpan w:val="3"/>
            <w:vAlign w:val="center"/>
          </w:tcPr>
          <w:p>
            <w:pPr>
              <w:jc w:val="center"/>
              <w:rPr>
                <w:rFonts w:hint="eastAsia" w:ascii="宋体" w:hAnsi="宋体" w:eastAsia="宋体" w:cs="宋体"/>
                <w:szCs w:val="21"/>
              </w:rPr>
            </w:pPr>
            <w:r>
              <w:rPr>
                <w:rFonts w:hint="eastAsia" w:ascii="宋体" w:hAnsi="宋体" w:eastAsia="宋体" w:cs="宋体"/>
                <w:szCs w:val="21"/>
              </w:rPr>
              <w:t>实际安装设备</w:t>
            </w:r>
          </w:p>
        </w:tc>
        <w:tc>
          <w:tcPr>
            <w:tcW w:w="1350"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Merge w:val="continue"/>
            <w:vAlign w:val="center"/>
          </w:tcPr>
          <w:p>
            <w:pPr>
              <w:jc w:val="center"/>
              <w:rPr>
                <w:rFonts w:hint="eastAsia" w:ascii="宋体" w:hAnsi="宋体" w:eastAsia="宋体" w:cs="宋体"/>
                <w:szCs w:val="21"/>
              </w:rPr>
            </w:pPr>
          </w:p>
        </w:tc>
        <w:tc>
          <w:tcPr>
            <w:tcW w:w="3004" w:type="dxa"/>
            <w:gridSpan w:val="2"/>
            <w:vAlign w:val="center"/>
          </w:tcPr>
          <w:p>
            <w:pPr>
              <w:jc w:val="center"/>
              <w:rPr>
                <w:rFonts w:hint="eastAsia" w:ascii="宋体" w:hAnsi="宋体" w:eastAsia="宋体" w:cs="宋体"/>
                <w:szCs w:val="21"/>
              </w:rPr>
            </w:pPr>
            <w:r>
              <w:rPr>
                <w:rFonts w:hint="eastAsia" w:ascii="宋体" w:hAnsi="宋体" w:eastAsia="宋体" w:cs="宋体"/>
                <w:szCs w:val="21"/>
              </w:rPr>
              <w:t>名称</w:t>
            </w:r>
          </w:p>
        </w:tc>
        <w:tc>
          <w:tcPr>
            <w:tcW w:w="1177" w:type="dxa"/>
            <w:vAlign w:val="center"/>
          </w:tcPr>
          <w:p>
            <w:pPr>
              <w:jc w:val="center"/>
              <w:rPr>
                <w:rFonts w:hint="eastAsia" w:ascii="宋体" w:hAnsi="宋体" w:eastAsia="宋体" w:cs="宋体"/>
                <w:szCs w:val="21"/>
              </w:rPr>
            </w:pPr>
            <w:r>
              <w:rPr>
                <w:rFonts w:hint="eastAsia" w:ascii="宋体" w:hAnsi="宋体" w:eastAsia="宋体" w:cs="宋体"/>
                <w:szCs w:val="21"/>
              </w:rPr>
              <w:t>数量（台）</w:t>
            </w:r>
          </w:p>
        </w:tc>
        <w:tc>
          <w:tcPr>
            <w:tcW w:w="3042" w:type="dxa"/>
            <w:gridSpan w:val="2"/>
            <w:vAlign w:val="center"/>
          </w:tcPr>
          <w:p>
            <w:pPr>
              <w:jc w:val="center"/>
              <w:rPr>
                <w:rFonts w:hint="eastAsia" w:ascii="宋体" w:hAnsi="宋体" w:eastAsia="宋体" w:cs="宋体"/>
                <w:szCs w:val="21"/>
              </w:rPr>
            </w:pPr>
            <w:r>
              <w:rPr>
                <w:rFonts w:hint="eastAsia" w:ascii="宋体" w:hAnsi="宋体" w:eastAsia="宋体" w:cs="宋体"/>
                <w:szCs w:val="21"/>
              </w:rPr>
              <w:t>名称</w:t>
            </w:r>
          </w:p>
        </w:tc>
        <w:tc>
          <w:tcPr>
            <w:tcW w:w="1062" w:type="dxa"/>
            <w:vAlign w:val="center"/>
          </w:tcPr>
          <w:p>
            <w:pPr>
              <w:jc w:val="center"/>
              <w:rPr>
                <w:rFonts w:hint="eastAsia" w:ascii="宋体" w:hAnsi="宋体" w:eastAsia="宋体" w:cs="宋体"/>
                <w:szCs w:val="21"/>
              </w:rPr>
            </w:pPr>
            <w:r>
              <w:rPr>
                <w:rFonts w:hint="eastAsia" w:ascii="宋体" w:hAnsi="宋体" w:eastAsia="宋体" w:cs="宋体"/>
                <w:szCs w:val="21"/>
              </w:rPr>
              <w:t>数量（台）</w:t>
            </w:r>
          </w:p>
        </w:tc>
        <w:tc>
          <w:tcPr>
            <w:tcW w:w="1350" w:type="dxa"/>
            <w:vMerge w:val="continue"/>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1</w:t>
            </w:r>
          </w:p>
        </w:tc>
        <w:tc>
          <w:tcPr>
            <w:tcW w:w="939" w:type="dxa"/>
            <w:vMerge w:val="restart"/>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LNG加气设备</w:t>
            </w: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60m</w:t>
            </w:r>
            <w:r>
              <w:rPr>
                <w:rFonts w:hint="eastAsia" w:ascii="宋体" w:hAnsi="宋体" w:cs="宋体"/>
                <w:sz w:val="21"/>
                <w:szCs w:val="21"/>
                <w:vertAlign w:val="superscript"/>
                <w:lang w:val="en-US" w:eastAsia="zh-CN"/>
              </w:rPr>
              <w:t>3</w:t>
            </w:r>
            <w:r>
              <w:rPr>
                <w:rFonts w:hint="eastAsia" w:ascii="宋体" w:hAnsi="宋体" w:cs="宋体"/>
                <w:sz w:val="21"/>
                <w:szCs w:val="21"/>
                <w:lang w:val="en-US" w:eastAsia="zh-CN"/>
              </w:rPr>
              <w:t>LNG低温储罐</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935" w:type="dxa"/>
            <w:vMerge w:val="restart"/>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LNG加气设备</w:t>
            </w: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60m</w:t>
            </w:r>
            <w:r>
              <w:rPr>
                <w:rFonts w:hint="eastAsia" w:ascii="宋体" w:hAnsi="宋体" w:cs="宋体"/>
                <w:sz w:val="21"/>
                <w:szCs w:val="21"/>
                <w:vertAlign w:val="superscript"/>
                <w:lang w:val="en-US" w:eastAsia="zh-CN"/>
              </w:rPr>
              <w:t>3</w:t>
            </w:r>
            <w:r>
              <w:rPr>
                <w:rFonts w:hint="eastAsia" w:ascii="宋体" w:hAnsi="宋体" w:cs="宋体"/>
                <w:sz w:val="21"/>
                <w:szCs w:val="21"/>
                <w:lang w:val="en-US" w:eastAsia="zh-CN"/>
              </w:rPr>
              <w:t>LNG低温储罐</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3</w:t>
            </w:r>
          </w:p>
        </w:tc>
        <w:tc>
          <w:tcPr>
            <w:tcW w:w="1350" w:type="dxa"/>
            <w:vAlign w:val="center"/>
          </w:tcPr>
          <w:p>
            <w:pPr>
              <w:jc w:val="center"/>
              <w:rPr>
                <w:rFonts w:hint="eastAsia" w:ascii="宋体" w:hAnsi="宋体" w:eastAsia="宋体" w:cs="宋体"/>
                <w:szCs w:val="21"/>
              </w:rPr>
            </w:pPr>
            <w:r>
              <w:rPr>
                <w:rFonts w:hint="eastAsia" w:ascii="宋体" w:hAnsi="宋体" w:eastAsia="宋体" w:cs="宋体"/>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2</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11K LNG低温潜液泵</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LNG泵撬</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2</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3</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80m</w:t>
            </w:r>
            <w:r>
              <w:rPr>
                <w:rFonts w:hint="eastAsia" w:ascii="宋体" w:hAnsi="宋体" w:cs="宋体"/>
                <w:sz w:val="21"/>
                <w:szCs w:val="21"/>
                <w:vertAlign w:val="superscript"/>
                <w:lang w:val="en-US" w:eastAsia="zh-CN"/>
              </w:rPr>
              <w:t>3</w:t>
            </w:r>
            <w:r>
              <w:rPr>
                <w:rFonts w:hint="eastAsia" w:ascii="宋体" w:hAnsi="宋体" w:cs="宋体"/>
                <w:sz w:val="21"/>
                <w:szCs w:val="21"/>
                <w:lang w:val="en-US" w:eastAsia="zh-CN"/>
              </w:rPr>
              <w:t>泵池</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80m</w:t>
            </w:r>
            <w:r>
              <w:rPr>
                <w:rFonts w:hint="eastAsia" w:ascii="宋体" w:hAnsi="宋体" w:cs="宋体"/>
                <w:sz w:val="21"/>
                <w:szCs w:val="21"/>
                <w:vertAlign w:val="superscript"/>
                <w:lang w:val="en-US" w:eastAsia="zh-CN"/>
              </w:rPr>
              <w:t>3</w:t>
            </w:r>
            <w:r>
              <w:rPr>
                <w:rFonts w:hint="eastAsia" w:ascii="宋体" w:hAnsi="宋体" w:cs="宋体"/>
                <w:sz w:val="21"/>
                <w:szCs w:val="21"/>
                <w:lang w:val="en-US" w:eastAsia="zh-CN"/>
              </w:rPr>
              <w:t>泵池</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1</w:t>
            </w:r>
          </w:p>
        </w:tc>
        <w:tc>
          <w:tcPr>
            <w:tcW w:w="1350" w:type="dxa"/>
            <w:vAlign w:val="center"/>
          </w:tcPr>
          <w:p>
            <w:pPr>
              <w:jc w:val="center"/>
              <w:rPr>
                <w:rFonts w:hint="eastAsia" w:ascii="宋体" w:hAnsi="宋体" w:eastAsia="宋体" w:cs="宋体"/>
                <w:szCs w:val="21"/>
              </w:rPr>
            </w:pPr>
            <w:r>
              <w:rPr>
                <w:rFonts w:hint="eastAsia" w:ascii="宋体" w:hAnsi="宋体" w:eastAsia="宋体" w:cs="宋体"/>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4</w:t>
            </w:r>
          </w:p>
        </w:tc>
        <w:tc>
          <w:tcPr>
            <w:tcW w:w="939" w:type="dxa"/>
            <w:vMerge w:val="continue"/>
            <w:vAlign w:val="center"/>
          </w:tcPr>
          <w:p>
            <w:pPr>
              <w:pStyle w:val="125"/>
              <w:spacing w:line="240" w:lineRule="auto"/>
              <w:rPr>
                <w:rFonts w:hint="eastAsia" w:ascii="宋体" w:hAnsi="宋体" w:cs="宋体"/>
                <w:sz w:val="21"/>
                <w:szCs w:val="21"/>
                <w:lang w:val="en-US" w:eastAsia="zh-CN"/>
              </w:rPr>
            </w:pP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LNG加注机</w:t>
            </w:r>
          </w:p>
        </w:tc>
        <w:tc>
          <w:tcPr>
            <w:tcW w:w="1177"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935" w:type="dxa"/>
            <w:vMerge w:val="continue"/>
            <w:vAlign w:val="center"/>
          </w:tcPr>
          <w:p>
            <w:pPr>
              <w:pStyle w:val="125"/>
              <w:spacing w:line="240" w:lineRule="auto"/>
              <w:rPr>
                <w:rFonts w:hint="eastAsia" w:ascii="宋体" w:hAnsi="宋体" w:cs="宋体"/>
                <w:sz w:val="21"/>
                <w:szCs w:val="21"/>
                <w:lang w:val="en-US" w:eastAsia="zh-CN"/>
              </w:rPr>
            </w:pPr>
          </w:p>
        </w:tc>
        <w:tc>
          <w:tcPr>
            <w:tcW w:w="210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LNG加注机</w:t>
            </w:r>
          </w:p>
        </w:tc>
        <w:tc>
          <w:tcPr>
            <w:tcW w:w="1062"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5</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增压器（卸车增压器、储罐增压器）</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增压器（卸车增压器、储罐增压器）</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2</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6</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EAG加热器</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EAG汽化器</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2</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rPr>
            </w:pPr>
            <w:r>
              <w:rPr>
                <w:rFonts w:hint="eastAsia" w:ascii="宋体" w:hAnsi="宋体" w:eastAsia="宋体" w:cs="宋体"/>
                <w:szCs w:val="21"/>
              </w:rPr>
              <w:t>7</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仪表风系统</w:t>
            </w:r>
          </w:p>
        </w:tc>
        <w:tc>
          <w:tcPr>
            <w:tcW w:w="1177" w:type="dxa"/>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1</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仪表风系统</w:t>
            </w:r>
          </w:p>
        </w:tc>
        <w:tc>
          <w:tcPr>
            <w:tcW w:w="1062" w:type="dxa"/>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1</w:t>
            </w:r>
          </w:p>
        </w:tc>
        <w:tc>
          <w:tcPr>
            <w:tcW w:w="135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lang w:eastAsia="zh-CN"/>
              </w:rPr>
            </w:pPr>
            <w:r>
              <w:rPr>
                <w:rFonts w:hint="eastAsia" w:ascii="宋体" w:hAnsi="宋体" w:eastAsia="宋体" w:cs="宋体"/>
                <w:szCs w:val="21"/>
                <w:lang w:val="en-US" w:eastAsia="zh-CN"/>
              </w:rPr>
              <w:t>8</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1177"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default" w:ascii="宋体" w:hAnsi="宋体" w:cs="宋体"/>
                <w:sz w:val="21"/>
                <w:szCs w:val="21"/>
                <w:lang w:val="en-US"/>
              </w:rPr>
            </w:pPr>
            <w:r>
              <w:rPr>
                <w:rFonts w:hint="eastAsia" w:ascii="宋体" w:hAnsi="宋体" w:cs="宋体"/>
                <w:sz w:val="21"/>
                <w:szCs w:val="21"/>
                <w:lang w:val="en-US" w:eastAsia="zh-CN"/>
              </w:rPr>
              <w:t>BOG回收撬</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1</w:t>
            </w:r>
          </w:p>
        </w:tc>
        <w:tc>
          <w:tcPr>
            <w:tcW w:w="1350" w:type="dxa"/>
            <w:vAlign w:val="center"/>
          </w:tcPr>
          <w:p>
            <w:pPr>
              <w:jc w:val="center"/>
              <w:rPr>
                <w:rFonts w:hint="eastAsia" w:ascii="宋体" w:hAnsi="宋体" w:eastAsia="宋体" w:cs="宋体"/>
                <w:szCs w:val="21"/>
                <w:lang w:eastAsia="zh-CN"/>
              </w:rPr>
            </w:pPr>
            <w:r>
              <w:rPr>
                <w:rFonts w:hint="eastAsia" w:ascii="宋体" w:hAnsi="宋体" w:eastAsia="宋体" w:cs="宋体"/>
                <w:szCs w:val="21"/>
                <w:lang w:val="en-US" w:eastAsia="zh-CN"/>
              </w:rPr>
              <w:t>用于回收天然气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939" w:type="dxa"/>
            <w:vMerge w:val="restart"/>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安全</w:t>
            </w:r>
          </w:p>
          <w:p>
            <w:pPr>
              <w:pStyle w:val="125"/>
              <w:spacing w:line="240" w:lineRule="auto"/>
              <w:rPr>
                <w:rFonts w:hint="default" w:ascii="宋体" w:hAnsi="宋体" w:cs="宋体"/>
                <w:sz w:val="21"/>
                <w:szCs w:val="21"/>
                <w:lang w:val="en-US" w:eastAsia="zh-CN"/>
              </w:rPr>
            </w:pPr>
            <w:r>
              <w:rPr>
                <w:rFonts w:hint="eastAsia" w:ascii="宋体" w:hAnsi="宋体" w:cs="宋体"/>
                <w:sz w:val="21"/>
                <w:szCs w:val="21"/>
                <w:lang w:val="en-US" w:eastAsia="zh-CN"/>
              </w:rPr>
              <w:t>设备</w:t>
            </w: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气动自控系统</w:t>
            </w:r>
          </w:p>
        </w:tc>
        <w:tc>
          <w:tcPr>
            <w:tcW w:w="1177"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935" w:type="dxa"/>
            <w:vMerge w:val="restart"/>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安全</w:t>
            </w:r>
          </w:p>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设备</w:t>
            </w:r>
          </w:p>
        </w:tc>
        <w:tc>
          <w:tcPr>
            <w:tcW w:w="210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气动自控系统</w:t>
            </w:r>
          </w:p>
        </w:tc>
        <w:tc>
          <w:tcPr>
            <w:tcW w:w="1062"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PLC控制柜</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PLC控制柜</w:t>
            </w:r>
          </w:p>
        </w:tc>
        <w:tc>
          <w:tcPr>
            <w:tcW w:w="1062"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939" w:type="dxa"/>
            <w:vMerge w:val="continue"/>
            <w:vAlign w:val="center"/>
          </w:tcPr>
          <w:p>
            <w:pPr>
              <w:pStyle w:val="125"/>
              <w:spacing w:line="240" w:lineRule="auto"/>
              <w:rPr>
                <w:rFonts w:hint="eastAsia" w:ascii="宋体" w:hAnsi="宋体" w:cs="宋体"/>
                <w:sz w:val="21"/>
                <w:szCs w:val="21"/>
              </w:rPr>
            </w:pPr>
          </w:p>
        </w:tc>
        <w:tc>
          <w:tcPr>
            <w:tcW w:w="2065"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可燃气体探测器及报警装置</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若干</w:t>
            </w:r>
          </w:p>
        </w:tc>
        <w:tc>
          <w:tcPr>
            <w:tcW w:w="935" w:type="dxa"/>
            <w:vMerge w:val="continue"/>
            <w:vAlign w:val="center"/>
          </w:tcPr>
          <w:p>
            <w:pPr>
              <w:pStyle w:val="125"/>
              <w:spacing w:line="240" w:lineRule="auto"/>
              <w:rPr>
                <w:rFonts w:hint="eastAsia" w:ascii="宋体" w:hAnsi="宋体" w:cs="宋体"/>
                <w:sz w:val="21"/>
                <w:szCs w:val="21"/>
              </w:rPr>
            </w:pPr>
          </w:p>
        </w:tc>
        <w:tc>
          <w:tcPr>
            <w:tcW w:w="2107"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可燃气体探测器及报警装置</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若干</w:t>
            </w:r>
          </w:p>
        </w:tc>
        <w:tc>
          <w:tcPr>
            <w:tcW w:w="1350" w:type="dxa"/>
            <w:vAlign w:val="center"/>
          </w:tcPr>
          <w:p>
            <w:pPr>
              <w:jc w:val="center"/>
              <w:rPr>
                <w:rFonts w:hint="eastAsia" w:ascii="宋体" w:hAnsi="宋体" w:eastAsia="宋体" w:cs="宋体"/>
                <w:szCs w:val="21"/>
                <w:highlight w:val="yellow"/>
              </w:rPr>
            </w:pPr>
            <w:r>
              <w:rPr>
                <w:rFonts w:hint="eastAsia" w:ascii="宋体" w:hAnsi="宋体" w:eastAsia="宋体" w:cs="宋体"/>
                <w:szCs w:val="21"/>
              </w:rPr>
              <w:t>与环评一致</w:t>
            </w:r>
          </w:p>
        </w:tc>
      </w:tr>
    </w:tbl>
    <w:p>
      <w:pPr>
        <w:pStyle w:val="5"/>
        <w:spacing w:line="460" w:lineRule="exact"/>
        <w:ind w:firstLine="480" w:firstLineChars="200"/>
        <w:rPr>
          <w:rFonts w:hint="eastAsia" w:cs="宋体"/>
          <w:b/>
        </w:rPr>
      </w:pPr>
      <w:bookmarkStart w:id="45" w:name="_Toc31451"/>
      <w:bookmarkStart w:id="46" w:name="_Toc516212504"/>
      <w:bookmarkStart w:id="47" w:name="_Toc22359"/>
      <w:bookmarkStart w:id="48" w:name="_Toc516158207"/>
      <w:r>
        <w:rPr>
          <w:rFonts w:hint="eastAsia" w:cs="宋体"/>
          <w:b/>
        </w:rPr>
        <w:t>3.2.4 项目投资</w:t>
      </w:r>
      <w:bookmarkEnd w:id="45"/>
      <w:bookmarkEnd w:id="46"/>
      <w:bookmarkEnd w:id="47"/>
      <w:bookmarkEnd w:id="48"/>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环评中</w:t>
      </w:r>
      <w:r>
        <w:rPr>
          <w:rFonts w:hint="eastAsia" w:ascii="宋体" w:hAnsi="宋体" w:eastAsia="宋体" w:cs="宋体"/>
          <w:sz w:val="24"/>
          <w:szCs w:val="24"/>
          <w:highlight w:val="none"/>
        </w:rPr>
        <w:t>本项目</w:t>
      </w:r>
      <w:r>
        <w:rPr>
          <w:rFonts w:hint="eastAsia" w:ascii="宋体" w:hAnsi="宋体" w:eastAsia="宋体" w:cs="宋体"/>
          <w:bCs/>
          <w:sz w:val="24"/>
          <w:highlight w:val="none"/>
        </w:rPr>
        <w:t>总投资为</w:t>
      </w:r>
      <w:r>
        <w:rPr>
          <w:rFonts w:hint="eastAsia" w:ascii="宋体" w:hAnsi="宋体" w:eastAsia="宋体" w:cs="宋体"/>
          <w:bCs/>
          <w:sz w:val="24"/>
          <w:highlight w:val="none"/>
          <w:lang w:val="en-US" w:eastAsia="zh-CN"/>
        </w:rPr>
        <w:t>1229.05</w:t>
      </w:r>
      <w:r>
        <w:rPr>
          <w:rFonts w:hint="eastAsia" w:ascii="宋体" w:hAnsi="宋体" w:eastAsia="宋体" w:cs="宋体"/>
          <w:bCs/>
          <w:sz w:val="24"/>
          <w:highlight w:val="none"/>
        </w:rPr>
        <w:t>万元，环保投资</w:t>
      </w:r>
      <w:r>
        <w:rPr>
          <w:rFonts w:hint="eastAsia" w:ascii="宋体" w:hAnsi="宋体" w:eastAsia="宋体" w:cs="宋体"/>
          <w:bCs/>
          <w:sz w:val="24"/>
          <w:highlight w:val="none"/>
          <w:lang w:val="en-US" w:eastAsia="zh-CN"/>
        </w:rPr>
        <w:t>5.5</w:t>
      </w:r>
      <w:r>
        <w:rPr>
          <w:rFonts w:hint="eastAsia" w:ascii="宋体" w:hAnsi="宋体" w:eastAsia="宋体" w:cs="宋体"/>
          <w:bCs/>
          <w:sz w:val="24"/>
          <w:highlight w:val="none"/>
        </w:rPr>
        <w:t>万元，占总投资的0.</w:t>
      </w:r>
      <w:r>
        <w:rPr>
          <w:rFonts w:hint="eastAsia" w:ascii="宋体" w:hAnsi="宋体" w:eastAsia="宋体" w:cs="宋体"/>
          <w:bCs/>
          <w:sz w:val="24"/>
          <w:highlight w:val="none"/>
          <w:lang w:val="en-US" w:eastAsia="zh-CN"/>
        </w:rPr>
        <w:t>4</w:t>
      </w:r>
      <w:r>
        <w:rPr>
          <w:rFonts w:hint="eastAsia" w:ascii="宋体" w:hAnsi="宋体" w:eastAsia="宋体" w:cs="宋体"/>
          <w:bCs/>
          <w:sz w:val="24"/>
          <w:highlight w:val="none"/>
        </w:rPr>
        <w:t>%。</w:t>
      </w:r>
    </w:p>
    <w:p>
      <w:pPr>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实际本项目</w:t>
      </w:r>
      <w:r>
        <w:rPr>
          <w:rFonts w:hint="eastAsia" w:ascii="宋体" w:hAnsi="宋体" w:eastAsia="宋体" w:cs="宋体"/>
          <w:bCs/>
          <w:sz w:val="24"/>
          <w:highlight w:val="none"/>
        </w:rPr>
        <w:t>总投资为</w:t>
      </w:r>
      <w:r>
        <w:rPr>
          <w:rFonts w:hint="eastAsia" w:ascii="宋体" w:hAnsi="宋体" w:eastAsia="宋体" w:cs="宋体"/>
          <w:bCs/>
          <w:sz w:val="24"/>
          <w:highlight w:val="none"/>
          <w:lang w:val="en-US" w:eastAsia="zh-CN"/>
        </w:rPr>
        <w:t>1229.05</w:t>
      </w:r>
      <w:r>
        <w:rPr>
          <w:rFonts w:hint="eastAsia" w:ascii="宋体" w:hAnsi="宋体" w:eastAsia="宋体" w:cs="宋体"/>
          <w:bCs/>
          <w:sz w:val="24"/>
          <w:highlight w:val="none"/>
        </w:rPr>
        <w:t>万元，环保投资</w:t>
      </w:r>
      <w:r>
        <w:rPr>
          <w:rFonts w:hint="eastAsia" w:ascii="宋体" w:hAnsi="宋体" w:eastAsia="宋体" w:cs="宋体"/>
          <w:bCs/>
          <w:sz w:val="24"/>
          <w:highlight w:val="none"/>
          <w:lang w:val="en-US" w:eastAsia="zh-CN"/>
        </w:rPr>
        <w:t>15.5</w:t>
      </w:r>
      <w:r>
        <w:rPr>
          <w:rFonts w:hint="eastAsia" w:ascii="宋体" w:hAnsi="宋体" w:eastAsia="宋体" w:cs="宋体"/>
          <w:bCs/>
          <w:sz w:val="24"/>
          <w:highlight w:val="none"/>
        </w:rPr>
        <w:t>万元，占总投资的</w:t>
      </w:r>
      <w:r>
        <w:rPr>
          <w:rFonts w:hint="eastAsia" w:ascii="宋体" w:hAnsi="宋体" w:eastAsia="宋体" w:cs="宋体"/>
          <w:bCs/>
          <w:sz w:val="24"/>
          <w:highlight w:val="none"/>
          <w:lang w:val="en-US" w:eastAsia="zh-CN"/>
        </w:rPr>
        <w:t>1.26</w:t>
      </w:r>
      <w:r>
        <w:rPr>
          <w:rFonts w:hint="eastAsia" w:ascii="宋体" w:hAnsi="宋体" w:eastAsia="宋体" w:cs="宋体"/>
          <w:bCs/>
          <w:sz w:val="24"/>
          <w:highlight w:val="none"/>
        </w:rPr>
        <w:t>%。</w:t>
      </w:r>
    </w:p>
    <w:p>
      <w:pPr>
        <w:pStyle w:val="5"/>
        <w:spacing w:line="460" w:lineRule="exact"/>
        <w:ind w:firstLine="480" w:firstLineChars="200"/>
        <w:rPr>
          <w:rFonts w:hint="eastAsia" w:cs="宋体"/>
          <w:b/>
        </w:rPr>
      </w:pPr>
      <w:bookmarkStart w:id="49" w:name="_Toc21183"/>
      <w:bookmarkStart w:id="50" w:name="_Toc516212505"/>
      <w:bookmarkStart w:id="51" w:name="_Toc26869"/>
      <w:bookmarkStart w:id="52" w:name="_Toc516158208"/>
      <w:r>
        <w:rPr>
          <w:rFonts w:hint="eastAsia" w:cs="宋体"/>
          <w:b/>
        </w:rPr>
        <w:t>3.2.5 环评及审批决定落实情况</w:t>
      </w:r>
      <w:bookmarkEnd w:id="49"/>
      <w:bookmarkEnd w:id="50"/>
      <w:bookmarkEnd w:id="51"/>
      <w:bookmarkEnd w:id="52"/>
    </w:p>
    <w:p>
      <w:pPr>
        <w:spacing w:line="4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审批决定及落实情况详见表3-3。</w:t>
      </w: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p>
    <w:p>
      <w:pPr>
        <w:widowControl/>
        <w:spacing w:line="460" w:lineRule="exact"/>
        <w:ind w:firstLine="480"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表3-3 环评审批决定落实情况</w:t>
      </w:r>
    </w:p>
    <w:tbl>
      <w:tblPr>
        <w:tblStyle w:val="30"/>
        <w:tblW w:w="104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7"/>
        <w:gridCol w:w="4139"/>
        <w:gridCol w:w="4331"/>
        <w:gridCol w:w="13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pacing w:val="0"/>
                <w:w w:val="100"/>
                <w:sz w:val="21"/>
                <w:szCs w:val="21"/>
              </w:rPr>
            </w:pPr>
            <w:r>
              <w:rPr>
                <w:rFonts w:hint="eastAsia" w:ascii="宋体" w:hAnsi="宋体" w:eastAsia="宋体" w:cs="宋体"/>
                <w:b/>
                <w:spacing w:val="0"/>
                <w:w w:val="100"/>
                <w:sz w:val="21"/>
                <w:szCs w:val="21"/>
              </w:rPr>
              <w:t>序号</w:t>
            </w:r>
          </w:p>
        </w:tc>
        <w:tc>
          <w:tcPr>
            <w:tcW w:w="413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pacing w:val="0"/>
                <w:w w:val="100"/>
                <w:sz w:val="21"/>
                <w:szCs w:val="21"/>
              </w:rPr>
            </w:pPr>
            <w:r>
              <w:rPr>
                <w:rFonts w:hint="eastAsia" w:ascii="宋体" w:hAnsi="宋体" w:eastAsia="宋体" w:cs="宋体"/>
                <w:b/>
                <w:spacing w:val="0"/>
                <w:w w:val="100"/>
                <w:sz w:val="21"/>
                <w:szCs w:val="21"/>
              </w:rPr>
              <w:t>审批决定建设内容</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pacing w:val="0"/>
                <w:w w:val="100"/>
                <w:sz w:val="21"/>
                <w:szCs w:val="21"/>
              </w:rPr>
            </w:pPr>
            <w:r>
              <w:rPr>
                <w:rFonts w:hint="eastAsia" w:ascii="宋体" w:hAnsi="宋体" w:eastAsia="宋体" w:cs="宋体"/>
                <w:b/>
                <w:spacing w:val="0"/>
                <w:w w:val="100"/>
                <w:sz w:val="21"/>
                <w:szCs w:val="21"/>
              </w:rPr>
              <w:t>实际建设内容</w:t>
            </w:r>
          </w:p>
        </w:tc>
        <w:tc>
          <w:tcPr>
            <w:tcW w:w="139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pacing w:val="0"/>
                <w:w w:val="100"/>
                <w:sz w:val="21"/>
                <w:szCs w:val="21"/>
              </w:rPr>
            </w:pPr>
            <w:r>
              <w:rPr>
                <w:rFonts w:hint="eastAsia" w:ascii="宋体" w:hAnsi="宋体" w:eastAsia="宋体" w:cs="宋体"/>
                <w:b/>
                <w:spacing w:val="0"/>
                <w:w w:val="10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1</w:t>
            </w:r>
          </w:p>
        </w:tc>
        <w:tc>
          <w:tcPr>
            <w:tcW w:w="413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val="en-US" w:eastAsia="zh-CN"/>
              </w:rPr>
              <w:t>阳原县鑫发天然气加注站拟建设的阳原县鑫发天然气加注站位于张家口市东井集镇拣花堡村109国道以北。项目主要建设内容为:新建站房、罩棚、3个60立方米LNG低温储气罐、设置6台LNG加注机、3台增压器、1台0.5吨燃气锅炉及相关辅助设施。总投资1229.05万元，其中环保总投资5.5万元</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highlight w:val="yellow"/>
              </w:rPr>
            </w:pPr>
            <w:r>
              <w:rPr>
                <w:rFonts w:hint="eastAsia" w:ascii="宋体" w:hAnsi="宋体" w:eastAsia="宋体" w:cs="宋体"/>
                <w:spacing w:val="0"/>
                <w:w w:val="100"/>
                <w:sz w:val="21"/>
                <w:szCs w:val="21"/>
                <w:lang w:val="en-US" w:eastAsia="zh-CN"/>
              </w:rPr>
              <w:t>阳原县鑫发天然气加注站拟建设的阳原县鑫发天然气加注站位于张家口市东井集镇拣花堡村109国道以北。项目建设内容包括</w:t>
            </w:r>
            <w:r>
              <w:rPr>
                <w:rFonts w:hint="eastAsia" w:ascii="宋体" w:hAnsi="宋体" w:eastAsia="宋体" w:cs="宋体"/>
                <w:color w:val="000000"/>
                <w:spacing w:val="0"/>
                <w:w w:val="100"/>
                <w:sz w:val="21"/>
                <w:szCs w:val="21"/>
                <w:lang w:val="en-US" w:eastAsia="zh-CN"/>
              </w:rPr>
              <w:t>站房、罩棚、</w:t>
            </w:r>
            <w:r>
              <w:rPr>
                <w:rFonts w:hint="eastAsia" w:ascii="宋体" w:hAnsi="宋体" w:eastAsia="宋体" w:cs="宋体"/>
                <w:spacing w:val="0"/>
                <w:w w:val="100"/>
                <w:sz w:val="21"/>
                <w:szCs w:val="21"/>
                <w:lang w:val="en-US" w:eastAsia="zh-CN"/>
              </w:rPr>
              <w:t>3个60立方米LNG低温储气罐、设置4台LNG加注机、2台LNG泵撬、2台增压汽化器、2台EAG汽化器、1台BOG回收撬、1台0.5吨燃气锅炉及相关辅助设施。总投资1229.05万元，其中环保总投资15.5万元</w:t>
            </w:r>
          </w:p>
        </w:tc>
        <w:tc>
          <w:tcPr>
            <w:tcW w:w="139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未落实，</w:t>
            </w:r>
            <w:r>
              <w:rPr>
                <w:rFonts w:hint="eastAsia" w:ascii="宋体" w:hAnsi="宋体" w:eastAsia="宋体" w:cs="宋体"/>
                <w:sz w:val="21"/>
                <w:szCs w:val="21"/>
                <w:lang w:val="en-US" w:eastAsia="zh-CN"/>
              </w:rPr>
              <w:t>预留2台LNG加注机、1台LNG泵撬、1台增压汽化器、1台EAG汽化器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2</w:t>
            </w:r>
          </w:p>
        </w:tc>
        <w:tc>
          <w:tcPr>
            <w:tcW w:w="413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val="en-US" w:eastAsia="zh-CN"/>
              </w:rPr>
              <w:t>加强施工期环境管理，制定严格的规章制度，确保各项环保措施落实到位。合理布置施工场地和安排施工时间；选用低噪工程设备；采取定期洒水、及时清理场地、土石料堆加盖篷布等措施减轻扬尘污染。确保施工期各项污染物稳定达标排放</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加强施工期环境管理，制定严格的规章制度，确保各项环保措施落实到位。合理布置施工场地和安排施工时间；选用低噪工程设备；采取定期洒水、及时清理场地、土石料堆加盖篷布等措施减轻扬尘污染。确保施工期各项污染物稳定达标排放</w:t>
            </w:r>
          </w:p>
        </w:tc>
        <w:tc>
          <w:tcPr>
            <w:tcW w:w="139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3</w:t>
            </w:r>
          </w:p>
        </w:tc>
        <w:tc>
          <w:tcPr>
            <w:tcW w:w="413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val="en-US" w:eastAsia="zh-CN"/>
              </w:rPr>
              <w:t>优化生产场区布局，合理布置噪声源。选用低噪生产设备，振动大的设备须加装减振机座及隔音设施，加强设备日常检修。确保厂界满足《工业企业厂界环境噪声排放标准》(GB12348-2008)中2类标准要求</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项目已选用低噪声设备，合理布局，LNG泵撬置于隔声罩内，</w:t>
            </w:r>
            <w:r>
              <w:rPr>
                <w:rFonts w:hint="eastAsia" w:ascii="宋体" w:hAnsi="宋体" w:eastAsia="宋体" w:cs="宋体"/>
                <w:color w:val="000000"/>
                <w:spacing w:val="0"/>
                <w:w w:val="100"/>
                <w:sz w:val="21"/>
                <w:szCs w:val="21"/>
                <w:highlight w:val="none"/>
                <w:lang w:val="en-US" w:eastAsia="zh-CN"/>
              </w:rPr>
              <w:t>根据《河北省燃气管理办法》（河北省人民政府令[2012]第6号），“燃气设施建设工程竣工后，建设单位应当依法进行竣工验收，未经验收或者经验收不合格的，不得投入使用”。由于项目尚未投入使用，因此未对污染物进行监测，本次仅验收相应设备设施</w:t>
            </w:r>
          </w:p>
        </w:tc>
        <w:tc>
          <w:tcPr>
            <w:tcW w:w="139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eastAsia="zh-CN"/>
              </w:rPr>
              <w:t>未</w:t>
            </w:r>
            <w:r>
              <w:rPr>
                <w:rFonts w:hint="eastAsia" w:ascii="宋体" w:hAnsi="宋体" w:eastAsia="宋体" w:cs="宋体"/>
                <w:spacing w:val="0"/>
                <w:w w:val="100"/>
                <w:sz w:val="21"/>
                <w:szCs w:val="21"/>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4</w:t>
            </w:r>
          </w:p>
        </w:tc>
        <w:tc>
          <w:tcPr>
            <w:tcW w:w="413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val="en-US" w:eastAsia="zh-CN"/>
              </w:rPr>
              <w:t>项目冬季供暖由自建燃气锅炉提供，燃气锅炉烟气排放须满足《锅炉大气污染物排放标准》(GB13271-2014)中表3特别排放限值</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项目安装1台0.5t/h天然气锅炉，废气经1根8m高排气筒排放，</w:t>
            </w:r>
            <w:r>
              <w:rPr>
                <w:rFonts w:hint="eastAsia" w:ascii="宋体" w:hAnsi="宋体" w:eastAsia="宋体" w:cs="宋体"/>
                <w:color w:val="000000"/>
                <w:spacing w:val="0"/>
                <w:w w:val="100"/>
                <w:sz w:val="21"/>
                <w:szCs w:val="21"/>
                <w:highlight w:val="none"/>
                <w:lang w:val="en-US" w:eastAsia="zh-CN"/>
              </w:rPr>
              <w:t>由于项目尚未投入使用，因此未对污染物进行监测，本次仅验收相应设备设施</w:t>
            </w:r>
          </w:p>
        </w:tc>
        <w:tc>
          <w:tcPr>
            <w:tcW w:w="139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5</w:t>
            </w:r>
          </w:p>
        </w:tc>
        <w:tc>
          <w:tcPr>
            <w:tcW w:w="41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val="en-US" w:eastAsia="zh-CN"/>
              </w:rPr>
              <w:t>项目生活污水排入防渗化粪池，定期清掏</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生活污水排入防渗旱厕，定期清掏</w:t>
            </w:r>
          </w:p>
        </w:tc>
        <w:tc>
          <w:tcPr>
            <w:tcW w:w="139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未建设防渗化粪池，建设防渗旱厕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6</w:t>
            </w:r>
          </w:p>
        </w:tc>
        <w:tc>
          <w:tcPr>
            <w:tcW w:w="41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lang w:val="en-US" w:eastAsia="zh-CN"/>
              </w:rPr>
              <w:t>生活垃圾集中收集定点存放，由环卫部门统一收集处理</w:t>
            </w:r>
          </w:p>
        </w:tc>
        <w:tc>
          <w:tcPr>
            <w:tcW w:w="433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0"/>
                <w:w w:val="100"/>
                <w:sz w:val="21"/>
                <w:szCs w:val="21"/>
                <w:lang w:val="en-US" w:eastAsia="zh-CN"/>
              </w:rPr>
            </w:pPr>
            <w:r>
              <w:rPr>
                <w:rFonts w:hint="eastAsia" w:ascii="宋体" w:hAnsi="宋体" w:eastAsia="宋体" w:cs="宋体"/>
                <w:spacing w:val="0"/>
                <w:w w:val="100"/>
                <w:sz w:val="21"/>
                <w:szCs w:val="21"/>
                <w:lang w:val="en-US" w:eastAsia="zh-CN"/>
              </w:rPr>
              <w:t>项目设置生活垃圾桶，生活垃圾集中收集定点存放，由环卫部门统一收集处理</w:t>
            </w:r>
          </w:p>
        </w:tc>
        <w:tc>
          <w:tcPr>
            <w:tcW w:w="139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0"/>
                <w:w w:val="100"/>
                <w:sz w:val="21"/>
                <w:szCs w:val="21"/>
              </w:rPr>
            </w:pPr>
            <w:r>
              <w:rPr>
                <w:rFonts w:hint="eastAsia" w:ascii="宋体" w:hAnsi="宋体" w:eastAsia="宋体" w:cs="宋体"/>
                <w:spacing w:val="0"/>
                <w:w w:val="100"/>
                <w:sz w:val="21"/>
                <w:szCs w:val="21"/>
              </w:rPr>
              <w:t>已落实</w:t>
            </w:r>
          </w:p>
        </w:tc>
      </w:tr>
    </w:tbl>
    <w:p>
      <w:pPr>
        <w:pStyle w:val="4"/>
        <w:spacing w:line="500" w:lineRule="exact"/>
        <w:rPr>
          <w:rFonts w:hint="eastAsia" w:cs="宋体"/>
        </w:rPr>
      </w:pPr>
      <w:bookmarkStart w:id="53" w:name="_Toc32055"/>
      <w:r>
        <w:rPr>
          <w:rFonts w:hint="eastAsia" w:cs="宋体"/>
        </w:rPr>
        <w:t>3.3 主要原辅材料及燃料</w:t>
      </w:r>
      <w:bookmarkEnd w:id="53"/>
    </w:p>
    <w:p>
      <w:pPr>
        <w:spacing w:line="4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原辅材料及能源消耗见表3-4。</w:t>
      </w:r>
    </w:p>
    <w:p>
      <w:pPr>
        <w:spacing w:line="460" w:lineRule="exact"/>
        <w:ind w:firstLine="480" w:firstLineChars="200"/>
        <w:jc w:val="center"/>
        <w:rPr>
          <w:rFonts w:hint="eastAsia" w:ascii="宋体" w:hAnsi="宋体" w:eastAsia="宋体" w:cs="宋体"/>
          <w:b/>
          <w:sz w:val="24"/>
          <w:szCs w:val="24"/>
        </w:rPr>
      </w:pPr>
      <w:r>
        <w:rPr>
          <w:rFonts w:hint="eastAsia" w:ascii="宋体" w:hAnsi="宋体" w:eastAsia="宋体" w:cs="宋体"/>
          <w:b/>
          <w:sz w:val="24"/>
          <w:szCs w:val="24"/>
        </w:rPr>
        <w:t>表3-4 原辅材料及能源消耗</w:t>
      </w:r>
    </w:p>
    <w:tbl>
      <w:tblPr>
        <w:tblStyle w:val="30"/>
        <w:tblW w:w="6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958"/>
        <w:gridCol w:w="2023"/>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2" w:type="dxa"/>
            <w:gridSpan w:val="2"/>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02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原辅料名称</w:t>
            </w:r>
          </w:p>
        </w:tc>
        <w:tc>
          <w:tcPr>
            <w:tcW w:w="241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设计消耗量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dxa"/>
            <w:vAlign w:val="center"/>
          </w:tcPr>
          <w:p>
            <w:pPr>
              <w:jc w:val="center"/>
              <w:rPr>
                <w:rFonts w:hint="eastAsia" w:ascii="宋体" w:hAnsi="宋体" w:eastAsia="宋体" w:cs="宋体"/>
                <w:sz w:val="21"/>
                <w:szCs w:val="21"/>
                <w:lang w:val="sq-AL"/>
              </w:rPr>
            </w:pPr>
            <w:r>
              <w:rPr>
                <w:rFonts w:hint="eastAsia" w:ascii="宋体" w:hAnsi="宋体" w:eastAsia="宋体" w:cs="宋体"/>
                <w:sz w:val="21"/>
                <w:szCs w:val="21"/>
                <w:lang w:val="sq-AL"/>
              </w:rPr>
              <w:t>1</w:t>
            </w:r>
          </w:p>
        </w:tc>
        <w:tc>
          <w:tcPr>
            <w:tcW w:w="958" w:type="dxa"/>
            <w:vAlign w:val="center"/>
          </w:tcPr>
          <w:p>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主辅料</w:t>
            </w:r>
          </w:p>
        </w:tc>
        <w:tc>
          <w:tcPr>
            <w:tcW w:w="2023" w:type="dxa"/>
            <w:vAlign w:val="center"/>
          </w:tcPr>
          <w:p>
            <w:pPr>
              <w:widowControl/>
              <w:spacing w:line="400" w:lineRule="exact"/>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液化天然气</w:t>
            </w:r>
          </w:p>
        </w:tc>
        <w:tc>
          <w:tcPr>
            <w:tcW w:w="2411" w:type="dxa"/>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2625万Nm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958" w:type="dxa"/>
            <w:vMerge w:val="restart"/>
            <w:vAlign w:val="center"/>
          </w:tcPr>
          <w:p>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能源</w:t>
            </w:r>
          </w:p>
        </w:tc>
        <w:tc>
          <w:tcPr>
            <w:tcW w:w="2023" w:type="dxa"/>
            <w:vAlign w:val="center"/>
          </w:tcPr>
          <w:p>
            <w:pPr>
              <w:widowControl/>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电</w:t>
            </w:r>
          </w:p>
        </w:tc>
        <w:tc>
          <w:tcPr>
            <w:tcW w:w="2411" w:type="dxa"/>
            <w:vAlign w:val="center"/>
          </w:tcPr>
          <w:p>
            <w:pPr>
              <w:spacing w:line="400" w:lineRule="exact"/>
              <w:jc w:val="center"/>
              <w:rPr>
                <w:rFonts w:hint="eastAsia" w:ascii="宋体" w:hAnsi="宋体" w:eastAsia="宋体" w:cs="宋体"/>
                <w:sz w:val="21"/>
                <w:szCs w:val="21"/>
                <w:lang w:val="sq-AL"/>
              </w:rPr>
            </w:pPr>
            <w:r>
              <w:rPr>
                <w:rFonts w:hint="eastAsia" w:ascii="宋体" w:hAnsi="宋体" w:eastAsia="宋体" w:cs="宋体"/>
                <w:sz w:val="21"/>
                <w:szCs w:val="21"/>
                <w:lang w:val="en-US" w:eastAsia="zh-CN"/>
              </w:rPr>
              <w:t>78.91</w:t>
            </w:r>
            <w:r>
              <w:rPr>
                <w:rFonts w:hint="eastAsia" w:ascii="宋体" w:hAnsi="宋体" w:eastAsia="宋体" w:cs="宋体"/>
                <w:sz w:val="21"/>
                <w:szCs w:val="21"/>
              </w:rPr>
              <w:t>万</w:t>
            </w:r>
            <w:r>
              <w:rPr>
                <w:rFonts w:hint="eastAsia" w:ascii="宋体" w:hAnsi="宋体" w:eastAsia="宋体" w:cs="宋体"/>
                <w:spacing w:val="-4"/>
                <w:sz w:val="21"/>
                <w:szCs w:val="21"/>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4"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958" w:type="dxa"/>
            <w:vMerge w:val="continue"/>
            <w:vAlign w:val="center"/>
          </w:tcPr>
          <w:p>
            <w:pPr>
              <w:widowControl/>
              <w:jc w:val="center"/>
              <w:rPr>
                <w:rFonts w:hint="eastAsia" w:ascii="宋体" w:hAnsi="宋体" w:eastAsia="宋体" w:cs="宋体"/>
                <w:kern w:val="0"/>
                <w:sz w:val="21"/>
                <w:szCs w:val="21"/>
              </w:rPr>
            </w:pPr>
          </w:p>
        </w:tc>
        <w:tc>
          <w:tcPr>
            <w:tcW w:w="2023" w:type="dxa"/>
            <w:vAlign w:val="center"/>
          </w:tcPr>
          <w:p>
            <w:pPr>
              <w:widowControl/>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水</w:t>
            </w:r>
          </w:p>
        </w:tc>
        <w:tc>
          <w:tcPr>
            <w:tcW w:w="2411" w:type="dxa"/>
            <w:vAlign w:val="center"/>
          </w:tcPr>
          <w:p>
            <w:pPr>
              <w:spacing w:line="40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294</w:t>
            </w:r>
            <w:r>
              <w:rPr>
                <w:rFonts w:hint="eastAsia" w:ascii="宋体" w:hAnsi="宋体" w:eastAsia="宋体" w:cs="宋体"/>
                <w:spacing w:val="-4"/>
                <w:sz w:val="21"/>
                <w:szCs w:val="21"/>
              </w:rPr>
              <w:t>m</w:t>
            </w:r>
            <w:r>
              <w:rPr>
                <w:rFonts w:hint="eastAsia" w:ascii="宋体" w:hAnsi="宋体" w:eastAsia="宋体" w:cs="宋体"/>
                <w:spacing w:val="-4"/>
                <w:sz w:val="21"/>
                <w:szCs w:val="21"/>
                <w:vertAlign w:val="superscript"/>
              </w:rPr>
              <w:t>3</w:t>
            </w:r>
            <w:r>
              <w:rPr>
                <w:rFonts w:hint="eastAsia" w:ascii="宋体" w:hAnsi="宋体" w:eastAsia="宋体" w:cs="宋体"/>
                <w:spacing w:val="-4"/>
                <w:sz w:val="21"/>
                <w:szCs w:val="21"/>
              </w:rPr>
              <w:t>/a</w:t>
            </w:r>
          </w:p>
        </w:tc>
      </w:tr>
    </w:tbl>
    <w:p>
      <w:pPr>
        <w:pStyle w:val="4"/>
        <w:spacing w:line="440" w:lineRule="exact"/>
        <w:rPr>
          <w:rFonts w:hint="eastAsia" w:cs="宋体"/>
        </w:rPr>
      </w:pPr>
      <w:bookmarkStart w:id="54" w:name="_Toc20503"/>
      <w:r>
        <w:rPr>
          <w:rFonts w:hint="eastAsia" w:cs="宋体"/>
        </w:rPr>
        <w:t>3.4 水源及水平衡</w:t>
      </w:r>
      <w:bookmarkEnd w:id="54"/>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给水：项目用水主要为</w:t>
      </w:r>
      <w:r>
        <w:rPr>
          <w:rFonts w:hint="eastAsia" w:ascii="宋体" w:hAnsi="宋体" w:eastAsia="宋体" w:cs="宋体"/>
          <w:sz w:val="24"/>
          <w:szCs w:val="24"/>
          <w:lang w:val="en-US" w:eastAsia="zh-CN"/>
        </w:rPr>
        <w:t>职工</w:t>
      </w:r>
      <w:r>
        <w:rPr>
          <w:rFonts w:hint="eastAsia" w:ascii="宋体" w:hAnsi="宋体" w:eastAsia="宋体" w:cs="宋体"/>
          <w:sz w:val="24"/>
          <w:szCs w:val="24"/>
        </w:rPr>
        <w:t>生活用水</w:t>
      </w:r>
      <w:r>
        <w:rPr>
          <w:rFonts w:hint="eastAsia" w:ascii="宋体" w:hAnsi="宋体" w:eastAsia="宋体" w:cs="宋体"/>
          <w:sz w:val="24"/>
          <w:szCs w:val="24"/>
          <w:lang w:val="en-US" w:eastAsia="zh-CN"/>
        </w:rPr>
        <w:t>和锅炉补水</w:t>
      </w:r>
      <w:r>
        <w:rPr>
          <w:rFonts w:hint="eastAsia" w:ascii="宋体" w:hAnsi="宋体" w:eastAsia="宋体" w:cs="宋体"/>
          <w:sz w:val="24"/>
          <w:szCs w:val="24"/>
        </w:rPr>
        <w:t>，由</w:t>
      </w:r>
      <w:r>
        <w:rPr>
          <w:rFonts w:hint="eastAsia" w:ascii="宋体" w:hAnsi="宋体" w:eastAsia="宋体" w:cs="宋体"/>
          <w:sz w:val="24"/>
          <w:lang w:val="en-US" w:eastAsia="zh-CN"/>
        </w:rPr>
        <w:t>鑫发加油站供给</w:t>
      </w:r>
      <w:r>
        <w:rPr>
          <w:rFonts w:hint="eastAsia" w:ascii="宋体" w:hAnsi="宋体" w:eastAsia="宋体" w:cs="宋体"/>
          <w:sz w:val="24"/>
          <w:szCs w:val="24"/>
        </w:rPr>
        <w:t>。</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排水：</w:t>
      </w:r>
      <w:r>
        <w:rPr>
          <w:rFonts w:hint="eastAsia" w:ascii="宋体" w:hAnsi="宋体" w:eastAsia="宋体" w:cs="宋体"/>
          <w:sz w:val="24"/>
          <w:szCs w:val="24"/>
          <w:lang w:val="en-US" w:eastAsia="zh-CN"/>
        </w:rPr>
        <w:t>项目外排废水主要为生活污水</w:t>
      </w:r>
      <w:r>
        <w:rPr>
          <w:rFonts w:hint="eastAsia" w:ascii="宋体" w:hAnsi="宋体" w:eastAsia="宋体" w:cs="宋体"/>
          <w:sz w:val="24"/>
          <w:szCs w:val="24"/>
        </w:rPr>
        <w:t>，生活污水排入</w:t>
      </w:r>
      <w:r>
        <w:rPr>
          <w:rFonts w:hint="eastAsia" w:ascii="宋体" w:hAnsi="宋体" w:eastAsia="宋体" w:cs="宋体"/>
          <w:sz w:val="24"/>
          <w:szCs w:val="24"/>
          <w:lang w:val="en-US" w:eastAsia="zh-CN"/>
        </w:rPr>
        <w:t>防渗旱厕，定期清掏，用作农家肥</w:t>
      </w:r>
      <w:r>
        <w:rPr>
          <w:rFonts w:hint="eastAsia" w:ascii="宋体" w:hAnsi="宋体" w:eastAsia="宋体" w:cs="宋体"/>
          <w:sz w:val="24"/>
          <w:szCs w:val="24"/>
        </w:rPr>
        <w:t>。项目调试阶段水平衡图见图3-1。</w:t>
      </w:r>
    </w:p>
    <w:p>
      <w:pPr>
        <w:jc w:val="center"/>
        <w:rPr>
          <w:rFonts w:hint="eastAsia" w:ascii="宋体" w:hAnsi="宋体" w:eastAsia="宋体" w:cs="宋体"/>
        </w:rPr>
      </w:pPr>
      <w:r>
        <w:drawing>
          <wp:inline distT="0" distB="0" distL="114300" distR="114300">
            <wp:extent cx="5139690" cy="73088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5139690" cy="730885"/>
                    </a:xfrm>
                    <a:prstGeom prst="rect">
                      <a:avLst/>
                    </a:prstGeom>
                    <a:noFill/>
                    <a:ln>
                      <a:noFill/>
                    </a:ln>
                  </pic:spPr>
                </pic:pic>
              </a:graphicData>
            </a:graphic>
          </wp:inline>
        </w:drawing>
      </w:r>
    </w:p>
    <w:p>
      <w:pPr>
        <w:spacing w:line="420" w:lineRule="exact"/>
        <w:jc w:val="center"/>
        <w:rPr>
          <w:rFonts w:hint="eastAsia" w:ascii="宋体" w:hAnsi="宋体" w:eastAsia="宋体" w:cs="宋体"/>
          <w:b/>
          <w:bCs/>
          <w:sz w:val="24"/>
          <w:szCs w:val="24"/>
        </w:rPr>
      </w:pPr>
      <w:r>
        <w:rPr>
          <w:rFonts w:hint="eastAsia" w:ascii="宋体" w:hAnsi="宋体" w:eastAsia="宋体" w:cs="宋体"/>
          <w:b/>
          <w:bCs/>
          <w:sz w:val="24"/>
          <w:szCs w:val="24"/>
        </w:rPr>
        <w:t>图3-1 调试阶段水平衡图</w:t>
      </w:r>
    </w:p>
    <w:p>
      <w:pPr>
        <w:pStyle w:val="4"/>
        <w:spacing w:line="500" w:lineRule="exact"/>
        <w:rPr>
          <w:rFonts w:hint="eastAsia" w:cs="宋体"/>
        </w:rPr>
      </w:pPr>
      <w:bookmarkStart w:id="55" w:name="_Toc26252"/>
      <w:r>
        <w:rPr>
          <w:rFonts w:hint="eastAsia" w:cs="宋体"/>
        </w:rPr>
        <w:t>3.5 生产工艺</w:t>
      </w:r>
      <w:bookmarkEnd w:id="55"/>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本项目生产工艺流程如下：</w:t>
      </w:r>
    </w:p>
    <w:p>
      <w:pPr>
        <w:pStyle w:val="2"/>
        <w:ind w:left="0" w:leftChars="0"/>
        <w:jc w:val="center"/>
        <w:rPr>
          <w:rFonts w:hint="eastAsia" w:ascii="宋体" w:hAnsi="宋体" w:eastAsia="宋体" w:cs="宋体"/>
          <w:b/>
          <w:bCs/>
          <w:sz w:val="24"/>
          <w:szCs w:val="24"/>
        </w:rPr>
      </w:pPr>
      <w:r>
        <w:object>
          <v:shape id="_x0000_i1025" o:spt="75" type="#_x0000_t75" style="height:309.55pt;width:453.1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r>
        <w:rPr>
          <w:rFonts w:hint="eastAsia" w:ascii="宋体" w:hAnsi="宋体" w:cs="宋体"/>
          <w:lang w:val="en-US" w:eastAsia="zh-CN"/>
        </w:rPr>
        <w:t xml:space="preserve">      </w:t>
      </w:r>
      <w:r>
        <w:rPr>
          <w:rFonts w:hint="eastAsia" w:ascii="宋体" w:hAnsi="宋体" w:eastAsia="宋体" w:cs="宋体"/>
          <w:b/>
          <w:bCs/>
          <w:sz w:val="24"/>
          <w:szCs w:val="24"/>
        </w:rPr>
        <w:t>图3-2  工艺流程及产污节点</w:t>
      </w:r>
    </w:p>
    <w:p>
      <w:pPr>
        <w:pStyle w:val="94"/>
        <w:keepNext w:val="0"/>
        <w:keepLines w:val="0"/>
        <w:pageBreakBefore w:val="0"/>
        <w:widowControl w:val="0"/>
        <w:kinsoku/>
        <w:wordWrap/>
        <w:overflowPunct/>
        <w:topLinePunct w:val="0"/>
        <w:autoSpaceDE/>
        <w:autoSpaceDN/>
        <w:bidi w:val="0"/>
        <w:adjustRightInd/>
        <w:snapToGrid/>
        <w:spacing w:line="500" w:lineRule="exact"/>
        <w:ind w:firstLine="482"/>
        <w:jc w:val="both"/>
        <w:textAlignment w:val="auto"/>
        <w:rPr>
          <w:rFonts w:hint="eastAsia" w:ascii="宋体" w:hAnsi="宋体" w:eastAsia="宋体" w:cs="宋体"/>
          <w:sz w:val="24"/>
          <w:szCs w:val="24"/>
        </w:rPr>
      </w:pPr>
      <w:r>
        <w:rPr>
          <w:rFonts w:hint="eastAsia" w:ascii="宋体" w:hAnsi="宋体" w:eastAsia="宋体" w:cs="宋体"/>
          <w:b/>
          <w:bCs/>
          <w:sz w:val="24"/>
          <w:szCs w:val="24"/>
        </w:rPr>
        <w:t>生产工艺简述</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本项目LNG加气站设置有3个60m</w:t>
      </w:r>
      <w:r>
        <w:rPr>
          <w:rFonts w:hint="eastAsia" w:ascii="宋体" w:hAnsi="宋体" w:eastAsia="宋体" w:cs="宋体"/>
          <w:sz w:val="24"/>
          <w:szCs w:val="24"/>
          <w:vertAlign w:val="superscript"/>
        </w:rPr>
        <w:t>3</w:t>
      </w:r>
      <w:r>
        <w:rPr>
          <w:rFonts w:hint="eastAsia" w:ascii="宋体" w:hAnsi="宋体" w:eastAsia="宋体" w:cs="宋体"/>
          <w:sz w:val="24"/>
          <w:szCs w:val="24"/>
        </w:rPr>
        <w:t>储罐，加气、调压过程为全自动化管理。包括</w:t>
      </w:r>
      <w:r>
        <w:rPr>
          <w:rFonts w:hint="eastAsia" w:ascii="宋体" w:hAnsi="宋体" w:eastAsia="宋体" w:cs="宋体"/>
          <w:sz w:val="24"/>
          <w:szCs w:val="24"/>
          <w:lang w:val="en-US" w:eastAsia="zh-CN"/>
        </w:rPr>
        <w:t>卸</w:t>
      </w:r>
      <w:r>
        <w:rPr>
          <w:rFonts w:hint="eastAsia" w:ascii="宋体" w:hAnsi="宋体" w:eastAsia="宋体" w:cs="宋体"/>
          <w:sz w:val="24"/>
          <w:szCs w:val="24"/>
        </w:rPr>
        <w:t>车流程、加气流程、储罐调压流程。</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A、卸车流程：</w:t>
      </w:r>
      <w:r>
        <w:rPr>
          <w:rFonts w:hint="eastAsia" w:ascii="宋体" w:hAnsi="宋体" w:eastAsia="宋体" w:cs="宋体"/>
          <w:sz w:val="24"/>
          <w:szCs w:val="24"/>
          <w:lang w:val="en-US" w:eastAsia="zh-CN"/>
        </w:rPr>
        <w:t>利用LNG潜液泵将液化天然气由槽车卸至</w:t>
      </w:r>
      <w:r>
        <w:rPr>
          <w:rFonts w:hint="eastAsia" w:ascii="宋体" w:hAnsi="宋体" w:eastAsia="宋体" w:cs="宋体"/>
          <w:sz w:val="24"/>
          <w:szCs w:val="24"/>
        </w:rPr>
        <w:t>加气站LNG储罐内的过程。</w:t>
      </w:r>
      <w:r>
        <w:rPr>
          <w:rFonts w:hint="eastAsia" w:ascii="宋体" w:hAnsi="宋体" w:eastAsia="宋体" w:cs="宋体"/>
          <w:sz w:val="24"/>
          <w:szCs w:val="24"/>
          <w:lang w:val="en-US" w:eastAsia="zh-CN"/>
        </w:rPr>
        <w:t>装有液化天然气的</w:t>
      </w:r>
      <w:r>
        <w:rPr>
          <w:rFonts w:hint="eastAsia" w:ascii="宋体" w:hAnsi="宋体" w:eastAsia="宋体" w:cs="宋体"/>
          <w:sz w:val="24"/>
          <w:szCs w:val="24"/>
        </w:rPr>
        <w:t>槽车至加气站，</w:t>
      </w:r>
      <w:r>
        <w:rPr>
          <w:rFonts w:hint="eastAsia" w:ascii="宋体" w:hAnsi="宋体" w:eastAsia="宋体" w:cs="宋体"/>
          <w:sz w:val="24"/>
          <w:szCs w:val="24"/>
          <w:lang w:val="en-US" w:eastAsia="zh-CN"/>
        </w:rPr>
        <w:t>液化天然气</w:t>
      </w:r>
      <w:r>
        <w:rPr>
          <w:rFonts w:hint="eastAsia" w:ascii="宋体" w:hAnsi="宋体" w:eastAsia="宋体" w:cs="宋体"/>
          <w:sz w:val="24"/>
          <w:szCs w:val="24"/>
        </w:rPr>
        <w:t>经槽车卸液口进入潜液泵，潜液泵将</w:t>
      </w:r>
      <w:r>
        <w:rPr>
          <w:rFonts w:hint="eastAsia" w:ascii="宋体" w:hAnsi="宋体" w:eastAsia="宋体" w:cs="宋体"/>
          <w:sz w:val="24"/>
          <w:szCs w:val="24"/>
          <w:lang w:val="en-US" w:eastAsia="zh-CN"/>
        </w:rPr>
        <w:t>天然气</w:t>
      </w:r>
      <w:r>
        <w:rPr>
          <w:rFonts w:hint="eastAsia" w:ascii="宋体" w:hAnsi="宋体" w:eastAsia="宋体" w:cs="宋体"/>
          <w:sz w:val="24"/>
          <w:szCs w:val="24"/>
        </w:rPr>
        <w:t>增压后充入LNG储罐。LNG槽车气相口与储罐的气相管连通，LNG储罐中的BOG气体通过气相管充入LNG槽车，一方面解决LNG槽车因液体减少造成的气相压力降低，另一方面解决LNG储罐因液体增多造成的气相压力升高，整个卸车流程不需要对储罐泄压，可以直接进行卸车操作。</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储罐调压流程：储罐调压流程是给LNG汽车加气前需要调整储罐内LNG的饱和蒸汽压的操作，该操作流程为潜液泵调压流程。LNG液体经LNG储罐的出液口进入潜液泵，由潜液泵增压后进入储罐增压器气化，气化后的天然气经 LNG储罐的气相管返回到LNG储罐的气相空间，为LNG储罐调压。</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C、加气流程：在加气流程中，储罐内的</w:t>
      </w:r>
      <w:r>
        <w:rPr>
          <w:rFonts w:hint="eastAsia" w:ascii="宋体" w:hAnsi="宋体" w:eastAsia="宋体" w:cs="宋体"/>
          <w:sz w:val="24"/>
          <w:szCs w:val="24"/>
          <w:lang w:val="en-US" w:eastAsia="zh-CN"/>
        </w:rPr>
        <w:t>液化天然气由</w:t>
      </w:r>
      <w:r>
        <w:rPr>
          <w:rFonts w:hint="eastAsia" w:ascii="宋体" w:hAnsi="宋体" w:eastAsia="宋体" w:cs="宋体"/>
          <w:sz w:val="24"/>
          <w:szCs w:val="24"/>
        </w:rPr>
        <w:t>LNG潜液泵抽出，通过LNG加注机向LNG汽车加注。</w:t>
      </w:r>
    </w:p>
    <w:p>
      <w:pPr>
        <w:pStyle w:val="4"/>
        <w:spacing w:line="500" w:lineRule="exact"/>
        <w:rPr>
          <w:rFonts w:hint="eastAsia" w:cs="宋体"/>
          <w:highlight w:val="none"/>
        </w:rPr>
      </w:pPr>
      <w:bookmarkStart w:id="56" w:name="_Toc9244"/>
      <w:r>
        <w:rPr>
          <w:rFonts w:hint="eastAsia" w:cs="宋体"/>
          <w:highlight w:val="none"/>
        </w:rPr>
        <w:t>3.6 项目变动情况</w:t>
      </w:r>
      <w:bookmarkEnd w:id="56"/>
    </w:p>
    <w:p>
      <w:pPr>
        <w:spacing w:line="5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经现场调查和与建设单位核实，该</w:t>
      </w:r>
      <w:r>
        <w:rPr>
          <w:rFonts w:hint="eastAsia" w:ascii="宋体" w:hAnsi="宋体" w:eastAsia="宋体" w:cs="宋体"/>
          <w:color w:val="000000"/>
          <w:sz w:val="24"/>
          <w:szCs w:val="24"/>
          <w:highlight w:val="none"/>
        </w:rPr>
        <w:t>项目</w:t>
      </w:r>
      <w:r>
        <w:rPr>
          <w:rFonts w:hint="eastAsia" w:ascii="宋体" w:hAnsi="宋体" w:eastAsia="宋体" w:cs="宋体"/>
          <w:color w:val="000000"/>
          <w:sz w:val="24"/>
          <w:szCs w:val="24"/>
          <w:highlight w:val="none"/>
          <w:lang w:val="en-US" w:eastAsia="zh-CN"/>
        </w:rPr>
        <w:t>构筑物面积、实际未建设非燃烧实体围墙、实际安装设备</w:t>
      </w:r>
      <w:r>
        <w:rPr>
          <w:rFonts w:hint="eastAsia" w:ascii="宋体" w:hAnsi="宋体" w:eastAsia="宋体" w:cs="宋体"/>
          <w:color w:val="000000"/>
          <w:sz w:val="24"/>
          <w:szCs w:val="24"/>
          <w:highlight w:val="none"/>
          <w:lang w:eastAsia="zh-CN"/>
        </w:rPr>
        <w:t>减少</w:t>
      </w:r>
      <w:r>
        <w:rPr>
          <w:rFonts w:hint="eastAsia" w:ascii="宋体" w:hAnsi="宋体" w:eastAsia="宋体" w:cs="宋体"/>
          <w:color w:val="000000"/>
          <w:sz w:val="24"/>
          <w:szCs w:val="24"/>
        </w:rPr>
        <w:t>，其他均与环评一致，无变更情况。</w:t>
      </w:r>
      <w:r>
        <w:rPr>
          <w:rFonts w:hint="eastAsia" w:ascii="宋体" w:hAnsi="宋体" w:eastAsia="宋体" w:cs="宋体"/>
          <w:color w:val="000000"/>
          <w:sz w:val="24"/>
          <w:szCs w:val="24"/>
          <w:lang w:val="en-US" w:eastAsia="zh-CN"/>
        </w:rPr>
        <w:t>根据《关于印发环评管理中部分行业建设项目重大变动清单的通知》（环办[2015]52号）“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r>
        <w:rPr>
          <w:rFonts w:hint="eastAsia" w:ascii="宋体" w:hAnsi="宋体" w:eastAsia="宋体" w:cs="宋体"/>
          <w:color w:val="000000"/>
          <w:sz w:val="24"/>
          <w:szCs w:val="24"/>
        </w:rPr>
        <w:t>本项目</w:t>
      </w:r>
      <w:r>
        <w:rPr>
          <w:rFonts w:hint="eastAsia" w:ascii="宋体" w:hAnsi="宋体" w:eastAsia="宋体" w:cs="宋体"/>
          <w:color w:val="000000"/>
          <w:sz w:val="24"/>
          <w:szCs w:val="24"/>
          <w:lang w:val="en-US" w:eastAsia="zh-CN"/>
        </w:rPr>
        <w:t>不属于</w:t>
      </w:r>
      <w:r>
        <w:rPr>
          <w:rFonts w:hint="eastAsia" w:ascii="宋体" w:hAnsi="宋体" w:eastAsia="宋体" w:cs="宋体"/>
          <w:color w:val="000000"/>
          <w:sz w:val="24"/>
          <w:szCs w:val="24"/>
        </w:rPr>
        <w:t>重大变动情况。具体变更如下：</w:t>
      </w:r>
    </w:p>
    <w:p>
      <w:pPr>
        <w:pStyle w:val="2"/>
        <w:numPr>
          <w:ilvl w:val="0"/>
          <w:numId w:val="5"/>
        </w:numPr>
        <w:spacing w:line="500" w:lineRule="exact"/>
        <w:ind w:left="0" w:leftChars="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构筑物面积</w:t>
      </w:r>
      <w:r>
        <w:rPr>
          <w:rFonts w:hint="eastAsia" w:ascii="宋体" w:hAnsi="宋体" w:eastAsia="宋体" w:cs="宋体"/>
          <w:color w:val="000000"/>
          <w:sz w:val="24"/>
          <w:szCs w:val="24"/>
        </w:rPr>
        <w:t>变更</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sz w:val="24"/>
          <w:szCs w:val="24"/>
          <w:lang w:val="en-US" w:eastAsia="zh-CN"/>
        </w:rPr>
        <w:t>构筑物建筑面积变更情况见表3-5</w:t>
      </w:r>
      <w:r>
        <w:rPr>
          <w:rFonts w:hint="eastAsia" w:ascii="宋体" w:hAnsi="宋体" w:eastAsia="宋体" w:cs="宋体"/>
          <w:sz w:val="24"/>
          <w:szCs w:val="24"/>
        </w:rPr>
        <w:t>。</w:t>
      </w:r>
    </w:p>
    <w:p>
      <w:pPr>
        <w:spacing w:line="460" w:lineRule="exact"/>
        <w:ind w:firstLine="480" w:firstLineChars="200"/>
        <w:jc w:val="center"/>
        <w:rPr>
          <w:rFonts w:hint="eastAsia" w:ascii="宋体" w:hAnsi="宋体" w:eastAsia="宋体" w:cs="宋体"/>
          <w:b/>
          <w:sz w:val="24"/>
          <w:szCs w:val="24"/>
        </w:rPr>
      </w:pPr>
      <w:r>
        <w:rPr>
          <w:rFonts w:hint="eastAsia" w:ascii="宋体" w:hAnsi="宋体" w:eastAsia="宋体" w:cs="宋体"/>
          <w:b/>
          <w:sz w:val="24"/>
          <w:szCs w:val="24"/>
        </w:rPr>
        <w:t>表3-</w:t>
      </w:r>
      <w:r>
        <w:rPr>
          <w:rFonts w:hint="eastAsia" w:ascii="宋体" w:hAnsi="宋体" w:eastAsia="宋体" w:cs="宋体"/>
          <w:b/>
          <w:sz w:val="24"/>
          <w:szCs w:val="24"/>
          <w:lang w:val="en-US" w:eastAsia="zh-CN"/>
        </w:rPr>
        <w:t>5</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构筑物面积变更</w:t>
      </w:r>
      <w:r>
        <w:rPr>
          <w:rFonts w:hint="eastAsia" w:ascii="宋体" w:hAnsi="宋体" w:eastAsia="宋体" w:cs="宋体"/>
          <w:b/>
          <w:sz w:val="24"/>
          <w:szCs w:val="24"/>
        </w:rPr>
        <w:t>一览表</w:t>
      </w:r>
    </w:p>
    <w:tbl>
      <w:tblPr>
        <w:tblStyle w:val="30"/>
        <w:tblW w:w="10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706"/>
        <w:gridCol w:w="3712"/>
        <w:gridCol w:w="3801"/>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工程</w:t>
            </w:r>
          </w:p>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类别</w:t>
            </w:r>
          </w:p>
        </w:tc>
        <w:tc>
          <w:tcPr>
            <w:tcW w:w="7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工程</w:t>
            </w:r>
          </w:p>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名称</w:t>
            </w:r>
          </w:p>
        </w:tc>
        <w:tc>
          <w:tcPr>
            <w:tcW w:w="37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原环评建设规模及内容</w:t>
            </w:r>
          </w:p>
        </w:tc>
        <w:tc>
          <w:tcPr>
            <w:tcW w:w="380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项目实际建设规模及内容</w:t>
            </w:r>
          </w:p>
        </w:tc>
        <w:tc>
          <w:tcPr>
            <w:tcW w:w="19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restart"/>
            <w:tcBorders>
              <w:left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kern w:val="0"/>
                <w:szCs w:val="21"/>
              </w:rPr>
            </w:pPr>
            <w:r>
              <w:rPr>
                <w:rFonts w:hint="eastAsia" w:ascii="宋体" w:hAnsi="宋体" w:eastAsia="宋体" w:cs="宋体"/>
                <w:kern w:val="0"/>
                <w:szCs w:val="21"/>
              </w:rPr>
              <w:t>主体</w:t>
            </w:r>
          </w:p>
          <w:p>
            <w:pPr>
              <w:adjustRightInd w:val="0"/>
              <w:snapToGrid w:val="0"/>
              <w:jc w:val="center"/>
              <w:textAlignment w:val="baseline"/>
              <w:rPr>
                <w:rFonts w:hint="eastAsia" w:ascii="宋体" w:hAnsi="宋体" w:eastAsia="宋体" w:cs="宋体"/>
                <w:kern w:val="0"/>
                <w:szCs w:val="21"/>
              </w:rPr>
            </w:pPr>
            <w:r>
              <w:rPr>
                <w:rFonts w:hint="eastAsia" w:ascii="宋体" w:hAnsi="宋体" w:eastAsia="宋体" w:cs="宋体"/>
                <w:kern w:val="0"/>
                <w:szCs w:val="21"/>
              </w:rPr>
              <w:t>工程</w:t>
            </w: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Cs w:val="21"/>
              </w:rPr>
            </w:pPr>
            <w:r>
              <w:rPr>
                <w:rFonts w:hint="eastAsia" w:ascii="宋体" w:hAnsi="宋体" w:eastAsia="宋体" w:cs="宋体"/>
                <w:sz w:val="21"/>
                <w:szCs w:val="21"/>
                <w:lang w:val="en-US" w:eastAsia="zh-CN"/>
              </w:rPr>
              <w:t>站房</w:t>
            </w:r>
          </w:p>
        </w:tc>
        <w:tc>
          <w:tcPr>
            <w:tcW w:w="371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Cs w:val="21"/>
              </w:rPr>
            </w:pPr>
            <w:r>
              <w:rPr>
                <w:rFonts w:hint="eastAsia" w:ascii="宋体" w:hAnsi="宋体" w:eastAsia="宋体" w:cs="宋体"/>
                <w:kern w:val="0"/>
                <w:sz w:val="21"/>
                <w:szCs w:val="21"/>
                <w:lang w:val="en-US" w:eastAsia="zh-CN"/>
              </w:rPr>
              <w:t>建筑面积342.72m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vertAlign w:val="baseline"/>
                <w:lang w:val="en-US" w:eastAsia="zh-CN"/>
              </w:rPr>
              <w:t>，</w:t>
            </w:r>
            <w:r>
              <w:rPr>
                <w:rFonts w:hint="eastAsia" w:ascii="宋体" w:hAnsi="宋体" w:eastAsia="宋体" w:cs="宋体"/>
                <w:kern w:val="0"/>
                <w:sz w:val="21"/>
                <w:szCs w:val="21"/>
                <w:lang w:val="en-US" w:eastAsia="zh-CN"/>
              </w:rPr>
              <w:t>砖混结构（包括办公室、值班室、营业室）</w:t>
            </w:r>
          </w:p>
        </w:tc>
        <w:tc>
          <w:tcPr>
            <w:tcW w:w="3801"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Cs w:val="21"/>
              </w:rPr>
            </w:pPr>
            <w:r>
              <w:rPr>
                <w:rFonts w:hint="eastAsia" w:ascii="宋体" w:hAnsi="宋体" w:eastAsia="宋体" w:cs="宋体"/>
                <w:kern w:val="0"/>
                <w:sz w:val="21"/>
                <w:szCs w:val="21"/>
                <w:lang w:val="en-US" w:eastAsia="zh-CN"/>
              </w:rPr>
              <w:t>建筑面积395.83m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vertAlign w:val="baseline"/>
                <w:lang w:val="en-US" w:eastAsia="zh-CN"/>
              </w:rPr>
              <w:t>，</w:t>
            </w:r>
            <w:r>
              <w:rPr>
                <w:rFonts w:hint="eastAsia" w:ascii="宋体" w:hAnsi="宋体" w:eastAsia="宋体" w:cs="宋体"/>
                <w:kern w:val="0"/>
                <w:sz w:val="21"/>
                <w:szCs w:val="21"/>
                <w:lang w:val="en-US" w:eastAsia="zh-CN"/>
              </w:rPr>
              <w:t>砖混结构（包括办公室、值班室、营业室）</w:t>
            </w:r>
          </w:p>
        </w:tc>
        <w:tc>
          <w:tcPr>
            <w:tcW w:w="1940" w:type="dxa"/>
            <w:tcBorders>
              <w:left w:val="single" w:color="auto" w:sz="4" w:space="0"/>
              <w:bottom w:val="single" w:color="auto" w:sz="4" w:space="0"/>
              <w:right w:val="single" w:color="auto" w:sz="4" w:space="0"/>
            </w:tcBorders>
            <w:vAlign w:val="center"/>
          </w:tcPr>
          <w:p>
            <w:pPr>
              <w:adjustRightInd w:val="0"/>
              <w:snapToGrid w:val="0"/>
              <w:jc w:val="center"/>
              <w:textAlignment w:val="baseline"/>
              <w:rPr>
                <w:rFonts w:hint="default" w:ascii="宋体" w:hAnsi="宋体" w:eastAsia="宋体" w:cs="宋体"/>
                <w:szCs w:val="21"/>
                <w:lang w:val="en-US" w:eastAsia="zh-CN"/>
              </w:rPr>
            </w:pPr>
            <w:r>
              <w:rPr>
                <w:rFonts w:hint="eastAsia" w:ascii="宋体" w:hAnsi="宋体" w:eastAsia="宋体" w:cs="宋体"/>
                <w:szCs w:val="21"/>
                <w:lang w:val="en-US" w:eastAsia="zh-CN"/>
              </w:rPr>
              <w:t>建筑面积增加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Borders>
              <w:left w:val="single" w:color="auto" w:sz="4" w:space="0"/>
              <w:right w:val="single" w:color="auto" w:sz="4" w:space="0"/>
            </w:tcBorders>
            <w:vAlign w:val="center"/>
          </w:tcPr>
          <w:p>
            <w:pPr>
              <w:adjustRightInd w:val="0"/>
              <w:snapToGrid w:val="0"/>
              <w:jc w:val="center"/>
              <w:textAlignment w:val="baseline"/>
              <w:rPr>
                <w:rFonts w:hint="eastAsia" w:ascii="宋体" w:hAnsi="宋体" w:eastAsia="宋体" w:cs="宋体"/>
                <w:kern w:val="0"/>
                <w:szCs w:val="21"/>
              </w:rPr>
            </w:pPr>
          </w:p>
        </w:tc>
        <w:tc>
          <w:tcPr>
            <w:tcW w:w="70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eastAsia" w:ascii="宋体" w:hAnsi="宋体" w:eastAsia="宋体" w:cs="宋体"/>
                <w:szCs w:val="21"/>
              </w:rPr>
            </w:pPr>
            <w:r>
              <w:rPr>
                <w:rFonts w:hint="eastAsia" w:ascii="宋体" w:hAnsi="宋体" w:eastAsia="宋体" w:cs="宋体"/>
                <w:sz w:val="21"/>
                <w:szCs w:val="21"/>
                <w:lang w:val="en-US" w:eastAsia="zh-CN"/>
              </w:rPr>
              <w:t>罩棚</w:t>
            </w:r>
          </w:p>
        </w:tc>
        <w:tc>
          <w:tcPr>
            <w:tcW w:w="3712"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Cs w:val="21"/>
                <w:highlight w:val="yellow"/>
              </w:rPr>
            </w:pPr>
            <w:r>
              <w:rPr>
                <w:rFonts w:hint="eastAsia" w:ascii="宋体" w:hAnsi="宋体" w:eastAsia="宋体" w:cs="宋体"/>
                <w:kern w:val="0"/>
                <w:sz w:val="21"/>
                <w:szCs w:val="21"/>
                <w:lang w:val="en-US" w:eastAsia="zh-CN"/>
              </w:rPr>
              <w:t>建筑面积1360m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lang w:val="en-US" w:eastAsia="zh-CN"/>
              </w:rPr>
              <w:t>网架构</w:t>
            </w:r>
          </w:p>
        </w:tc>
        <w:tc>
          <w:tcPr>
            <w:tcW w:w="3801"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kern w:val="0"/>
                <w:szCs w:val="21"/>
                <w:highlight w:val="yellow"/>
              </w:rPr>
            </w:pPr>
            <w:r>
              <w:rPr>
                <w:rFonts w:hint="eastAsia" w:ascii="宋体" w:hAnsi="宋体" w:eastAsia="宋体" w:cs="宋体"/>
                <w:kern w:val="0"/>
                <w:sz w:val="21"/>
                <w:szCs w:val="21"/>
                <w:lang w:val="en-US" w:eastAsia="zh-CN"/>
              </w:rPr>
              <w:t>建筑面积698.2m</w:t>
            </w:r>
            <w:r>
              <w:rPr>
                <w:rFonts w:hint="eastAsia" w:ascii="宋体" w:hAnsi="宋体" w:eastAsia="宋体" w:cs="宋体"/>
                <w:kern w:val="0"/>
                <w:sz w:val="21"/>
                <w:szCs w:val="21"/>
                <w:vertAlign w:val="superscript"/>
                <w:lang w:val="en-US" w:eastAsia="zh-CN"/>
              </w:rPr>
              <w:t>2</w:t>
            </w:r>
            <w:r>
              <w:rPr>
                <w:rFonts w:hint="eastAsia" w:ascii="宋体" w:hAnsi="宋体" w:eastAsia="宋体" w:cs="宋体"/>
                <w:kern w:val="0"/>
                <w:sz w:val="21"/>
                <w:szCs w:val="21"/>
                <w:lang w:val="en-US" w:eastAsia="zh-CN"/>
              </w:rPr>
              <w:t>网架构</w:t>
            </w:r>
          </w:p>
        </w:tc>
        <w:tc>
          <w:tcPr>
            <w:tcW w:w="1940" w:type="dxa"/>
            <w:tcBorders>
              <w:left w:val="single" w:color="auto" w:sz="4" w:space="0"/>
              <w:bottom w:val="single" w:color="auto" w:sz="4" w:space="0"/>
              <w:right w:val="single" w:color="auto" w:sz="4" w:space="0"/>
            </w:tcBorders>
            <w:vAlign w:val="center"/>
          </w:tcPr>
          <w:p>
            <w:pPr>
              <w:jc w:val="center"/>
              <w:rPr>
                <w:rFonts w:hint="default" w:ascii="宋体" w:hAnsi="宋体" w:eastAsia="宋体"/>
                <w:szCs w:val="21"/>
                <w:lang w:val="en-US" w:eastAsia="zh-CN"/>
              </w:rPr>
            </w:pPr>
            <w:r>
              <w:rPr>
                <w:rFonts w:hint="eastAsia" w:ascii="宋体" w:hAnsi="宋体" w:eastAsia="宋体"/>
                <w:szCs w:val="21"/>
                <w:lang w:val="en-US" w:eastAsia="zh-CN"/>
              </w:rPr>
              <w:t>建筑面积减小</w:t>
            </w:r>
          </w:p>
        </w:tc>
      </w:tr>
    </w:tbl>
    <w:p>
      <w:pPr>
        <w:pStyle w:val="2"/>
        <w:numPr>
          <w:ilvl w:val="0"/>
          <w:numId w:val="5"/>
        </w:numPr>
        <w:spacing w:line="500" w:lineRule="exact"/>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环评中要求建设不低于2.2m高非燃烧实体围墙，由于加注站实际防火距离满足标准防火距离，根据《汽车加油加气站设计与施工规范》（GB50156-2012（2014版））“当加油加气站的工艺设备与站外建（构）筑物之间的距离大于LNG设备与站外建（构）筑物的安全距离的1.5倍，且大于25米时，可不设置实体围墙”，因此，无需建设非燃烧实体墙。</w:t>
      </w:r>
    </w:p>
    <w:p>
      <w:pPr>
        <w:pStyle w:val="2"/>
        <w:numPr>
          <w:ilvl w:val="0"/>
          <w:numId w:val="5"/>
        </w:numPr>
        <w:spacing w:line="500" w:lineRule="exact"/>
        <w:ind w:left="0" w:leftChars="0"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设备</w:t>
      </w:r>
      <w:r>
        <w:rPr>
          <w:rFonts w:hint="eastAsia" w:ascii="宋体" w:hAnsi="宋体" w:eastAsia="宋体" w:cs="宋体"/>
          <w:color w:val="000000"/>
          <w:sz w:val="24"/>
          <w:szCs w:val="24"/>
        </w:rPr>
        <w:t>变更</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本项目设备变更情况见表3-6。</w:t>
      </w:r>
    </w:p>
    <w:p>
      <w:pPr>
        <w:spacing w:line="500" w:lineRule="exact"/>
        <w:ind w:firstLine="480" w:firstLineChars="20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表3-</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设备变更情况</w:t>
      </w:r>
      <w:r>
        <w:rPr>
          <w:rFonts w:hint="eastAsia" w:ascii="宋体" w:hAnsi="宋体" w:eastAsia="宋体" w:cs="宋体"/>
          <w:b/>
          <w:color w:val="auto"/>
          <w:sz w:val="24"/>
          <w:szCs w:val="24"/>
          <w:highlight w:val="none"/>
        </w:rPr>
        <w:t>一览表</w:t>
      </w:r>
    </w:p>
    <w:tbl>
      <w:tblPr>
        <w:tblStyle w:val="30"/>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3004"/>
        <w:gridCol w:w="1177"/>
        <w:gridCol w:w="3042"/>
        <w:gridCol w:w="1062"/>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序号</w:t>
            </w:r>
          </w:p>
        </w:tc>
        <w:tc>
          <w:tcPr>
            <w:tcW w:w="4181" w:type="dxa"/>
            <w:gridSpan w:val="2"/>
            <w:vAlign w:val="center"/>
          </w:tcPr>
          <w:p>
            <w:pPr>
              <w:jc w:val="center"/>
              <w:rPr>
                <w:rFonts w:hint="eastAsia" w:ascii="宋体" w:hAnsi="宋体" w:eastAsia="宋体" w:cs="宋体"/>
                <w:szCs w:val="21"/>
              </w:rPr>
            </w:pPr>
            <w:r>
              <w:rPr>
                <w:rFonts w:hint="eastAsia" w:ascii="宋体" w:hAnsi="宋体" w:eastAsia="宋体" w:cs="宋体"/>
                <w:szCs w:val="21"/>
              </w:rPr>
              <w:t>原环评要求安装设备</w:t>
            </w:r>
          </w:p>
        </w:tc>
        <w:tc>
          <w:tcPr>
            <w:tcW w:w="4104" w:type="dxa"/>
            <w:gridSpan w:val="2"/>
            <w:vAlign w:val="center"/>
          </w:tcPr>
          <w:p>
            <w:pPr>
              <w:jc w:val="center"/>
              <w:rPr>
                <w:rFonts w:hint="eastAsia" w:ascii="宋体" w:hAnsi="宋体" w:eastAsia="宋体" w:cs="宋体"/>
                <w:szCs w:val="21"/>
              </w:rPr>
            </w:pPr>
            <w:r>
              <w:rPr>
                <w:rFonts w:hint="eastAsia" w:ascii="宋体" w:hAnsi="宋体" w:eastAsia="宋体" w:cs="宋体"/>
                <w:szCs w:val="21"/>
              </w:rPr>
              <w:t>实际安装设备</w:t>
            </w:r>
          </w:p>
        </w:tc>
        <w:tc>
          <w:tcPr>
            <w:tcW w:w="1350" w:type="dxa"/>
            <w:vMerge w:val="restart"/>
            <w:vAlign w:val="center"/>
          </w:tcPr>
          <w:p>
            <w:pPr>
              <w:jc w:val="center"/>
              <w:rPr>
                <w:rFonts w:hint="eastAsia"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Merge w:val="continue"/>
            <w:vAlign w:val="center"/>
          </w:tcPr>
          <w:p>
            <w:pPr>
              <w:jc w:val="center"/>
              <w:rPr>
                <w:rFonts w:hint="eastAsia" w:ascii="宋体" w:hAnsi="宋体" w:eastAsia="宋体" w:cs="宋体"/>
                <w:szCs w:val="21"/>
              </w:rPr>
            </w:pPr>
          </w:p>
        </w:tc>
        <w:tc>
          <w:tcPr>
            <w:tcW w:w="3004" w:type="dxa"/>
            <w:vAlign w:val="center"/>
          </w:tcPr>
          <w:p>
            <w:pPr>
              <w:jc w:val="center"/>
              <w:rPr>
                <w:rFonts w:hint="eastAsia" w:ascii="宋体" w:hAnsi="宋体" w:eastAsia="宋体" w:cs="宋体"/>
                <w:szCs w:val="21"/>
              </w:rPr>
            </w:pPr>
            <w:r>
              <w:rPr>
                <w:rFonts w:hint="eastAsia" w:ascii="宋体" w:hAnsi="宋体" w:eastAsia="宋体" w:cs="宋体"/>
                <w:szCs w:val="21"/>
              </w:rPr>
              <w:t>名称</w:t>
            </w:r>
          </w:p>
        </w:tc>
        <w:tc>
          <w:tcPr>
            <w:tcW w:w="1177" w:type="dxa"/>
            <w:vAlign w:val="center"/>
          </w:tcPr>
          <w:p>
            <w:pPr>
              <w:jc w:val="center"/>
              <w:rPr>
                <w:rFonts w:hint="eastAsia" w:ascii="宋体" w:hAnsi="宋体" w:eastAsia="宋体" w:cs="宋体"/>
                <w:szCs w:val="21"/>
              </w:rPr>
            </w:pPr>
            <w:r>
              <w:rPr>
                <w:rFonts w:hint="eastAsia" w:ascii="宋体" w:hAnsi="宋体" w:eastAsia="宋体" w:cs="宋体"/>
                <w:szCs w:val="21"/>
              </w:rPr>
              <w:t>数量（台）</w:t>
            </w:r>
          </w:p>
        </w:tc>
        <w:tc>
          <w:tcPr>
            <w:tcW w:w="3042" w:type="dxa"/>
            <w:vAlign w:val="center"/>
          </w:tcPr>
          <w:p>
            <w:pPr>
              <w:jc w:val="center"/>
              <w:rPr>
                <w:rFonts w:hint="eastAsia" w:ascii="宋体" w:hAnsi="宋体" w:eastAsia="宋体" w:cs="宋体"/>
                <w:szCs w:val="21"/>
              </w:rPr>
            </w:pPr>
            <w:r>
              <w:rPr>
                <w:rFonts w:hint="eastAsia" w:ascii="宋体" w:hAnsi="宋体" w:eastAsia="宋体" w:cs="宋体"/>
                <w:szCs w:val="21"/>
              </w:rPr>
              <w:t>名称</w:t>
            </w:r>
          </w:p>
        </w:tc>
        <w:tc>
          <w:tcPr>
            <w:tcW w:w="1062" w:type="dxa"/>
            <w:vAlign w:val="center"/>
          </w:tcPr>
          <w:p>
            <w:pPr>
              <w:jc w:val="center"/>
              <w:rPr>
                <w:rFonts w:hint="eastAsia" w:ascii="宋体" w:hAnsi="宋体" w:eastAsia="宋体" w:cs="宋体"/>
                <w:szCs w:val="21"/>
              </w:rPr>
            </w:pPr>
            <w:r>
              <w:rPr>
                <w:rFonts w:hint="eastAsia" w:ascii="宋体" w:hAnsi="宋体" w:eastAsia="宋体" w:cs="宋体"/>
                <w:szCs w:val="21"/>
              </w:rPr>
              <w:t>数量（台）</w:t>
            </w:r>
          </w:p>
        </w:tc>
        <w:tc>
          <w:tcPr>
            <w:tcW w:w="1350" w:type="dxa"/>
            <w:vMerge w:val="continue"/>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3004"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11K LNG低温潜液泵</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304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LNG泵撬</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2</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004"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LNG加注机</w:t>
            </w:r>
          </w:p>
        </w:tc>
        <w:tc>
          <w:tcPr>
            <w:tcW w:w="1177"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3042"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LNG加注机</w:t>
            </w:r>
          </w:p>
        </w:tc>
        <w:tc>
          <w:tcPr>
            <w:tcW w:w="1062"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3004"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增压器（卸车增压器、储罐增压器）</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304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增压器（卸车增压器、储罐增压器）</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2</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3004" w:type="dxa"/>
            <w:vAlign w:val="center"/>
          </w:tcPr>
          <w:p>
            <w:pPr>
              <w:pStyle w:val="125"/>
              <w:spacing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EAG加热器</w:t>
            </w:r>
          </w:p>
        </w:tc>
        <w:tc>
          <w:tcPr>
            <w:tcW w:w="1177" w:type="dxa"/>
            <w:vAlign w:val="center"/>
          </w:tcPr>
          <w:p>
            <w:pPr>
              <w:pStyle w:val="125"/>
              <w:spacing w:line="24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304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EAG汽化器</w:t>
            </w:r>
          </w:p>
        </w:tc>
        <w:tc>
          <w:tcPr>
            <w:tcW w:w="1062" w:type="dxa"/>
            <w:vAlign w:val="center"/>
          </w:tcPr>
          <w:p>
            <w:pPr>
              <w:pStyle w:val="125"/>
              <w:spacing w:line="240" w:lineRule="auto"/>
              <w:rPr>
                <w:rFonts w:hint="eastAsia" w:ascii="宋体" w:hAnsi="宋体" w:cs="宋体"/>
                <w:sz w:val="21"/>
                <w:szCs w:val="21"/>
              </w:rPr>
            </w:pPr>
            <w:r>
              <w:rPr>
                <w:rFonts w:hint="eastAsia" w:ascii="宋体" w:hAnsi="宋体" w:cs="宋体"/>
                <w:sz w:val="21"/>
                <w:szCs w:val="21"/>
                <w:lang w:val="en-US" w:eastAsia="zh-CN"/>
              </w:rPr>
              <w:t>2</w:t>
            </w:r>
          </w:p>
        </w:tc>
        <w:tc>
          <w:tcPr>
            <w:tcW w:w="1350"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预留1台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004" w:type="dxa"/>
            <w:vAlign w:val="center"/>
          </w:tcPr>
          <w:p>
            <w:pPr>
              <w:pStyle w:val="125"/>
              <w:spacing w:line="240" w:lineRule="auto"/>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1177" w:type="dxa"/>
            <w:vAlign w:val="center"/>
          </w:tcPr>
          <w:p>
            <w:pPr>
              <w:pStyle w:val="125"/>
              <w:spacing w:line="240" w:lineRule="auto"/>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3042" w:type="dxa"/>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BOG回收撬</w:t>
            </w:r>
          </w:p>
        </w:tc>
        <w:tc>
          <w:tcPr>
            <w:tcW w:w="1062" w:type="dxa"/>
            <w:vAlign w:val="center"/>
          </w:tcPr>
          <w:p>
            <w:pPr>
              <w:pStyle w:val="125"/>
              <w:spacing w:line="240" w:lineRule="auto"/>
              <w:rPr>
                <w:rFonts w:hint="eastAsia" w:ascii="宋体" w:hAnsi="宋体" w:cs="宋体"/>
                <w:sz w:val="21"/>
                <w:szCs w:val="21"/>
                <w:lang w:val="en-US" w:eastAsia="zh-CN"/>
              </w:rPr>
            </w:pPr>
            <w:r>
              <w:rPr>
                <w:rFonts w:hint="eastAsia" w:ascii="宋体" w:hAnsi="宋体" w:cs="宋体"/>
                <w:sz w:val="21"/>
                <w:szCs w:val="21"/>
                <w:lang w:val="en-US" w:eastAsia="zh-CN"/>
              </w:rPr>
              <w:t>1</w:t>
            </w:r>
          </w:p>
        </w:tc>
        <w:tc>
          <w:tcPr>
            <w:tcW w:w="135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用于回收减压时散逸的天然气</w:t>
            </w:r>
          </w:p>
        </w:tc>
      </w:tr>
    </w:tbl>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3"/>
        <w:spacing w:line="500" w:lineRule="exact"/>
        <w:rPr>
          <w:rFonts w:hint="eastAsia" w:cs="宋体"/>
        </w:rPr>
      </w:pPr>
      <w:bookmarkStart w:id="57" w:name="_Toc7696"/>
      <w:r>
        <w:rPr>
          <w:rFonts w:hint="eastAsia" w:cs="宋体"/>
        </w:rPr>
        <w:t>4 环境保护设施</w:t>
      </w:r>
      <w:bookmarkEnd w:id="57"/>
    </w:p>
    <w:p>
      <w:pPr>
        <w:pStyle w:val="4"/>
        <w:spacing w:line="500" w:lineRule="exact"/>
        <w:rPr>
          <w:rFonts w:hint="eastAsia" w:cs="宋体"/>
        </w:rPr>
      </w:pPr>
      <w:bookmarkStart w:id="58" w:name="_Toc14328"/>
      <w:r>
        <w:rPr>
          <w:rFonts w:hint="eastAsia" w:cs="宋体"/>
        </w:rPr>
        <w:t>4.1 污染物治理/处置设施</w:t>
      </w:r>
      <w:bookmarkEnd w:id="58"/>
    </w:p>
    <w:p>
      <w:pPr>
        <w:pStyle w:val="5"/>
        <w:spacing w:line="500" w:lineRule="exact"/>
        <w:ind w:firstLine="480" w:firstLineChars="200"/>
        <w:rPr>
          <w:rFonts w:hint="eastAsia" w:cs="宋体"/>
          <w:b/>
        </w:rPr>
      </w:pPr>
      <w:bookmarkStart w:id="59" w:name="_Toc516158215"/>
      <w:bookmarkStart w:id="60" w:name="_Toc17800"/>
      <w:bookmarkStart w:id="61" w:name="_Toc13285"/>
      <w:bookmarkStart w:id="62" w:name="_Toc516212512"/>
      <w:bookmarkStart w:id="63" w:name="_Toc516142946"/>
      <w:bookmarkStart w:id="64" w:name="_Toc516141744"/>
      <w:r>
        <w:rPr>
          <w:rFonts w:hint="eastAsia" w:cs="宋体"/>
          <w:b/>
        </w:rPr>
        <w:t>4.1.1 废水</w:t>
      </w:r>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bookmarkStart w:id="65" w:name="_Toc516142947"/>
      <w:bookmarkStart w:id="66" w:name="_Toc516141745"/>
      <w:bookmarkStart w:id="67" w:name="_Toc516059080"/>
      <w:bookmarkStart w:id="68" w:name="_Toc516158217"/>
      <w:bookmarkStart w:id="69" w:name="_Toc516212514"/>
      <w:bookmarkStart w:id="70" w:name="_Toc17097"/>
      <w:r>
        <w:rPr>
          <w:rFonts w:hint="eastAsia" w:ascii="宋体" w:hAnsi="宋体" w:eastAsia="宋体" w:cs="宋体"/>
          <w:sz w:val="24"/>
          <w:szCs w:val="24"/>
        </w:rPr>
        <w:t>本项目废</w:t>
      </w:r>
      <w:r>
        <w:rPr>
          <w:rFonts w:hint="eastAsia" w:ascii="宋体" w:hAnsi="宋体" w:eastAsia="宋体" w:cs="宋体"/>
          <w:sz w:val="24"/>
          <w:szCs w:val="24"/>
          <w:lang w:eastAsia="zh-CN"/>
        </w:rPr>
        <w:t>水主要为职工生活污水，生活污水排入防渗旱厕，定期清掏，用作农家肥。</w:t>
      </w:r>
    </w:p>
    <w:p>
      <w:pPr>
        <w:pStyle w:val="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宋体"/>
        </w:rPr>
      </w:pPr>
      <w:bookmarkStart w:id="71" w:name="_Toc17062"/>
      <w:r>
        <w:rPr>
          <w:rFonts w:hint="eastAsia" w:cs="宋体"/>
          <w:b/>
        </w:rPr>
        <w:t xml:space="preserve">4.1.2 </w:t>
      </w:r>
      <w:bookmarkEnd w:id="65"/>
      <w:bookmarkEnd w:id="66"/>
      <w:bookmarkEnd w:id="67"/>
      <w:r>
        <w:rPr>
          <w:rFonts w:hint="eastAsia" w:cs="宋体"/>
          <w:b/>
        </w:rPr>
        <w:t>废气</w:t>
      </w:r>
      <w:bookmarkEnd w:id="63"/>
      <w:bookmarkEnd w:id="64"/>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本项目废气主要为</w:t>
      </w:r>
      <w:r>
        <w:rPr>
          <w:rFonts w:hint="eastAsia" w:ascii="宋体" w:hAnsi="宋体" w:eastAsia="宋体" w:cs="宋体"/>
          <w:sz w:val="24"/>
          <w:szCs w:val="24"/>
          <w:lang w:val="en-US" w:eastAsia="zh-CN"/>
        </w:rPr>
        <w:t>天然气锅炉废气及进出站内的加气车辆产生的汽车尾气</w:t>
      </w:r>
      <w:r>
        <w:rPr>
          <w:rFonts w:hint="eastAsia" w:ascii="宋体" w:hAnsi="宋体" w:eastAsia="宋体" w:cs="宋体"/>
          <w:sz w:val="24"/>
          <w:szCs w:val="24"/>
        </w:rPr>
        <w:t>。废气产生及治理情况见表4-</w:t>
      </w:r>
      <w:r>
        <w:rPr>
          <w:rFonts w:hint="eastAsia" w:ascii="宋体" w:hAnsi="宋体" w:eastAsia="宋体" w:cs="宋体"/>
          <w:sz w:val="24"/>
          <w:szCs w:val="24"/>
          <w:lang w:val="en-US" w:eastAsia="zh-CN"/>
        </w:rPr>
        <w:t>1</w:t>
      </w:r>
      <w:r>
        <w:rPr>
          <w:rFonts w:hint="eastAsia" w:ascii="宋体" w:hAnsi="宋体" w:eastAsia="宋体" w:cs="宋体"/>
          <w:sz w:val="24"/>
          <w:szCs w:val="24"/>
        </w:rPr>
        <w:t>。</w:t>
      </w:r>
    </w:p>
    <w:p>
      <w:pPr>
        <w:spacing w:line="500" w:lineRule="exact"/>
        <w:ind w:firstLine="480" w:firstLineChars="200"/>
        <w:jc w:val="center"/>
        <w:rPr>
          <w:rFonts w:hint="eastAsia" w:ascii="宋体" w:hAnsi="宋体" w:eastAsia="宋体" w:cs="宋体"/>
          <w:b/>
          <w:sz w:val="24"/>
          <w:szCs w:val="24"/>
        </w:rPr>
      </w:pPr>
      <w:r>
        <w:rPr>
          <w:rFonts w:hint="eastAsia" w:ascii="宋体" w:hAnsi="宋体" w:eastAsia="宋体" w:cs="宋体"/>
          <w:b/>
          <w:sz w:val="24"/>
          <w:szCs w:val="24"/>
        </w:rPr>
        <w:t>表4-1 废气产生及治理情况一览表</w:t>
      </w:r>
    </w:p>
    <w:tbl>
      <w:tblPr>
        <w:tblStyle w:val="30"/>
        <w:tblW w:w="10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735"/>
        <w:gridCol w:w="1339"/>
        <w:gridCol w:w="1131"/>
        <w:gridCol w:w="2746"/>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3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产生工序</w:t>
            </w:r>
          </w:p>
        </w:tc>
        <w:tc>
          <w:tcPr>
            <w:tcW w:w="7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废气</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名称</w:t>
            </w:r>
          </w:p>
        </w:tc>
        <w:tc>
          <w:tcPr>
            <w:tcW w:w="133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污染物</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种类</w:t>
            </w:r>
          </w:p>
        </w:tc>
        <w:tc>
          <w:tcPr>
            <w:tcW w:w="1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排放方式</w:t>
            </w:r>
          </w:p>
        </w:tc>
        <w:tc>
          <w:tcPr>
            <w:tcW w:w="27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治理设施</w:t>
            </w:r>
          </w:p>
        </w:tc>
        <w:tc>
          <w:tcPr>
            <w:tcW w:w="3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锅炉</w:t>
            </w:r>
          </w:p>
        </w:tc>
        <w:tc>
          <w:tcPr>
            <w:tcW w:w="7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lang w:val="en-US" w:eastAsia="zh-CN"/>
              </w:rPr>
              <w:t>锅炉废气</w:t>
            </w:r>
          </w:p>
        </w:tc>
        <w:tc>
          <w:tcPr>
            <w:tcW w:w="133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lang w:val="en-US" w:eastAsia="zh-CN"/>
              </w:rPr>
              <w:t>SO</w:t>
            </w:r>
            <w:r>
              <w:rPr>
                <w:rFonts w:hint="eastAsia" w:ascii="宋体" w:hAnsi="宋体" w:eastAsia="宋体" w:cs="宋体"/>
                <w:w w:val="100"/>
                <w:sz w:val="21"/>
                <w:szCs w:val="21"/>
                <w:vertAlign w:val="subscript"/>
                <w:lang w:val="en-US" w:eastAsia="zh-CN"/>
              </w:rPr>
              <w:t>2</w:t>
            </w:r>
            <w:r>
              <w:rPr>
                <w:rFonts w:hint="eastAsia" w:ascii="宋体" w:hAnsi="宋体" w:eastAsia="宋体" w:cs="宋体"/>
                <w:w w:val="100"/>
                <w:sz w:val="21"/>
                <w:szCs w:val="21"/>
                <w:lang w:val="en-US" w:eastAsia="zh-CN"/>
              </w:rPr>
              <w:t>、NO</w:t>
            </w:r>
            <w:r>
              <w:rPr>
                <w:rFonts w:hint="eastAsia" w:ascii="宋体" w:hAnsi="宋体" w:eastAsia="宋体" w:cs="宋体"/>
                <w:w w:val="100"/>
                <w:sz w:val="21"/>
                <w:szCs w:val="21"/>
                <w:vertAlign w:val="subscript"/>
                <w:lang w:val="en-US" w:eastAsia="zh-CN"/>
              </w:rPr>
              <w:t>X</w:t>
            </w:r>
            <w:r>
              <w:rPr>
                <w:rFonts w:hint="eastAsia" w:ascii="宋体" w:hAnsi="宋体" w:eastAsia="宋体" w:cs="宋体"/>
                <w:w w:val="100"/>
                <w:sz w:val="21"/>
                <w:szCs w:val="21"/>
                <w:lang w:val="en-US" w:eastAsia="zh-CN"/>
              </w:rPr>
              <w:t>、颗粒物</w:t>
            </w:r>
          </w:p>
        </w:tc>
        <w:tc>
          <w:tcPr>
            <w:tcW w:w="1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rPr>
            </w:pPr>
            <w:r>
              <w:rPr>
                <w:rFonts w:hint="eastAsia" w:ascii="宋体" w:hAnsi="宋体" w:eastAsia="宋体" w:cs="宋体"/>
                <w:w w:val="100"/>
                <w:sz w:val="21"/>
                <w:szCs w:val="21"/>
                <w:lang w:val="en-US" w:eastAsia="zh-CN"/>
              </w:rPr>
              <w:t>有</w:t>
            </w:r>
            <w:r>
              <w:rPr>
                <w:rFonts w:hint="eastAsia" w:ascii="宋体" w:hAnsi="宋体" w:eastAsia="宋体" w:cs="宋体"/>
                <w:w w:val="100"/>
                <w:sz w:val="21"/>
                <w:szCs w:val="21"/>
              </w:rPr>
              <w:t>组织</w:t>
            </w:r>
          </w:p>
        </w:tc>
        <w:tc>
          <w:tcPr>
            <w:tcW w:w="27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w w:val="100"/>
                <w:sz w:val="21"/>
                <w:szCs w:val="21"/>
                <w:lang w:val="en-US" w:eastAsia="zh-CN"/>
              </w:rPr>
            </w:pPr>
            <w:r>
              <w:rPr>
                <w:rFonts w:hint="eastAsia" w:ascii="宋体" w:hAnsi="宋体" w:eastAsia="宋体" w:cs="宋体"/>
                <w:color w:val="000000"/>
                <w:w w:val="100"/>
                <w:sz w:val="21"/>
                <w:szCs w:val="21"/>
                <w:lang w:val="en-US" w:eastAsia="zh-CN"/>
              </w:rPr>
              <w:t>废气经1根8m高排气筒（图4-1）外排</w:t>
            </w:r>
          </w:p>
        </w:tc>
        <w:tc>
          <w:tcPr>
            <w:tcW w:w="3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w w:val="100"/>
                <w:sz w:val="21"/>
                <w:szCs w:val="21"/>
              </w:rPr>
            </w:pPr>
            <w:r>
              <w:rPr>
                <w:rFonts w:hint="eastAsia" w:ascii="宋体" w:hAnsi="宋体" w:eastAsia="宋体" w:cs="宋体"/>
                <w:szCs w:val="24"/>
              </w:rPr>
              <w:t>《锅炉大气污染物排放标准》(GB13271-2014)表3特别排放限值要求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进出站内加气车辆</w:t>
            </w:r>
          </w:p>
        </w:tc>
        <w:tc>
          <w:tcPr>
            <w:tcW w:w="73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汽车尾气</w:t>
            </w:r>
          </w:p>
        </w:tc>
        <w:tc>
          <w:tcPr>
            <w:tcW w:w="1339"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非甲烷总烃</w:t>
            </w:r>
          </w:p>
        </w:tc>
        <w:tc>
          <w:tcPr>
            <w:tcW w:w="113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无组织</w:t>
            </w:r>
          </w:p>
        </w:tc>
        <w:tc>
          <w:tcPr>
            <w:tcW w:w="27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000000"/>
                <w:w w:val="100"/>
                <w:sz w:val="21"/>
                <w:szCs w:val="21"/>
                <w:lang w:val="en-US" w:eastAsia="zh-CN"/>
              </w:rPr>
            </w:pPr>
            <w:r>
              <w:rPr>
                <w:rFonts w:hint="eastAsia" w:ascii="宋体" w:hAnsi="宋体" w:eastAsia="宋体" w:cs="宋体"/>
                <w:color w:val="000000"/>
                <w:w w:val="100"/>
                <w:sz w:val="21"/>
                <w:szCs w:val="21"/>
                <w:lang w:val="en-US" w:eastAsia="zh-CN"/>
              </w:rPr>
              <w:t>/</w:t>
            </w:r>
          </w:p>
        </w:tc>
        <w:tc>
          <w:tcPr>
            <w:tcW w:w="325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w w:val="100"/>
                <w:sz w:val="21"/>
                <w:szCs w:val="21"/>
                <w:lang w:val="en-US" w:eastAsia="zh-CN"/>
              </w:rPr>
            </w:pPr>
            <w:r>
              <w:rPr>
                <w:rFonts w:hint="eastAsia" w:ascii="宋体" w:hAnsi="宋体" w:eastAsia="宋体" w:cs="宋体"/>
                <w:w w:val="100"/>
                <w:sz w:val="21"/>
                <w:szCs w:val="21"/>
                <w:lang w:val="en-US" w:eastAsia="zh-CN"/>
              </w:rPr>
              <w:t>《工业企业挥发性有机物排放控制标准》（GB13/2322-2016）表2企业边界大气污染物浓度限值 其他企业限值</w:t>
            </w:r>
          </w:p>
        </w:tc>
      </w:tr>
    </w:tbl>
    <w:p>
      <w:pPr>
        <w:pStyle w:val="5"/>
        <w:spacing w:line="500" w:lineRule="exact"/>
        <w:ind w:firstLine="480" w:firstLineChars="200"/>
        <w:rPr>
          <w:rFonts w:hint="eastAsia" w:cs="宋体"/>
          <w:b/>
        </w:rPr>
      </w:pPr>
      <w:bookmarkStart w:id="72" w:name="_Toc516212515"/>
      <w:bookmarkStart w:id="73" w:name="_Toc516142948"/>
      <w:bookmarkStart w:id="74" w:name="_Toc516158218"/>
      <w:bookmarkStart w:id="75" w:name="_Toc516059081"/>
      <w:bookmarkStart w:id="76" w:name="_Toc2919"/>
      <w:bookmarkStart w:id="77" w:name="_Toc516141746"/>
      <w:bookmarkStart w:id="78" w:name="_Toc25303"/>
      <w:r>
        <w:rPr>
          <w:rFonts w:hint="eastAsia" w:cs="宋体"/>
          <w:b/>
        </w:rPr>
        <w:t>4.1.3 噪声</w:t>
      </w:r>
      <w:bookmarkEnd w:id="72"/>
      <w:bookmarkEnd w:id="73"/>
      <w:bookmarkEnd w:id="74"/>
      <w:bookmarkEnd w:id="75"/>
      <w:bookmarkEnd w:id="76"/>
      <w:bookmarkEnd w:id="77"/>
      <w:bookmarkEnd w:id="78"/>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本项目运营期噪声源主要为</w:t>
      </w:r>
      <w:r>
        <w:rPr>
          <w:rFonts w:hint="eastAsia" w:ascii="宋体" w:hAnsi="宋体" w:eastAsia="宋体" w:cs="宋体"/>
          <w:sz w:val="24"/>
          <w:szCs w:val="24"/>
          <w:lang w:val="en-US" w:eastAsia="zh-CN"/>
        </w:rPr>
        <w:t>LNG泵撬等</w:t>
      </w:r>
      <w:r>
        <w:rPr>
          <w:rFonts w:hint="eastAsia" w:ascii="宋体" w:hAnsi="宋体" w:eastAsia="宋体" w:cs="宋体"/>
          <w:sz w:val="24"/>
          <w:szCs w:val="24"/>
        </w:rPr>
        <w:t>设备产生的噪声。噪声产生及治理情况见表4-2。</w:t>
      </w:r>
    </w:p>
    <w:p>
      <w:pPr>
        <w:spacing w:line="500" w:lineRule="exact"/>
        <w:ind w:firstLine="480" w:firstLineChars="200"/>
        <w:jc w:val="center"/>
        <w:rPr>
          <w:rFonts w:hint="eastAsia" w:ascii="宋体" w:hAnsi="宋体" w:eastAsia="宋体" w:cs="宋体"/>
          <w:b/>
          <w:sz w:val="24"/>
          <w:szCs w:val="24"/>
        </w:rPr>
      </w:pPr>
      <w:r>
        <w:rPr>
          <w:rFonts w:hint="eastAsia" w:ascii="宋体" w:hAnsi="宋体" w:eastAsia="宋体" w:cs="宋体"/>
          <w:b/>
          <w:sz w:val="24"/>
          <w:szCs w:val="24"/>
        </w:rPr>
        <w:t>表4-2 噪声产生及治理情况一览表</w:t>
      </w:r>
    </w:p>
    <w:tbl>
      <w:tblPr>
        <w:tblStyle w:val="30"/>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026"/>
        <w:gridCol w:w="2598"/>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pPr>
              <w:jc w:val="center"/>
              <w:rPr>
                <w:rFonts w:hint="eastAsia" w:ascii="宋体" w:hAnsi="宋体" w:eastAsia="宋体" w:cs="宋体"/>
                <w:szCs w:val="21"/>
              </w:rPr>
            </w:pPr>
            <w:r>
              <w:rPr>
                <w:rFonts w:hint="eastAsia" w:ascii="宋体" w:hAnsi="宋体" w:eastAsia="宋体" w:cs="宋体"/>
                <w:szCs w:val="21"/>
              </w:rPr>
              <w:t>噪声源设备名称</w:t>
            </w:r>
          </w:p>
        </w:tc>
        <w:tc>
          <w:tcPr>
            <w:tcW w:w="1026" w:type="dxa"/>
            <w:vAlign w:val="center"/>
          </w:tcPr>
          <w:p>
            <w:pPr>
              <w:jc w:val="center"/>
              <w:rPr>
                <w:rFonts w:hint="eastAsia" w:ascii="宋体" w:hAnsi="宋体" w:eastAsia="宋体" w:cs="宋体"/>
                <w:szCs w:val="21"/>
              </w:rPr>
            </w:pPr>
            <w:r>
              <w:rPr>
                <w:rFonts w:hint="eastAsia" w:ascii="宋体" w:hAnsi="宋体" w:eastAsia="宋体" w:cs="宋体"/>
                <w:szCs w:val="21"/>
              </w:rPr>
              <w:t>源强dB(A)</w:t>
            </w:r>
          </w:p>
        </w:tc>
        <w:tc>
          <w:tcPr>
            <w:tcW w:w="2598" w:type="dxa"/>
          </w:tcPr>
          <w:p>
            <w:pPr>
              <w:jc w:val="center"/>
              <w:rPr>
                <w:rFonts w:hint="eastAsia" w:ascii="宋体" w:hAnsi="宋体" w:eastAsia="宋体" w:cs="宋体"/>
                <w:szCs w:val="21"/>
              </w:rPr>
            </w:pPr>
            <w:r>
              <w:rPr>
                <w:rFonts w:hint="eastAsia" w:ascii="宋体" w:hAnsi="宋体" w:eastAsia="宋体" w:cs="宋体"/>
                <w:szCs w:val="21"/>
              </w:rPr>
              <w:t>治理设施</w:t>
            </w:r>
          </w:p>
        </w:tc>
        <w:tc>
          <w:tcPr>
            <w:tcW w:w="3015" w:type="dxa"/>
            <w:vAlign w:val="center"/>
          </w:tcPr>
          <w:p>
            <w:pPr>
              <w:jc w:val="center"/>
              <w:rPr>
                <w:rFonts w:hint="eastAsia" w:ascii="宋体" w:hAnsi="宋体" w:eastAsia="宋体" w:cs="宋体"/>
                <w:szCs w:val="21"/>
              </w:rPr>
            </w:pPr>
            <w:r>
              <w:rPr>
                <w:rFonts w:hint="eastAsia" w:ascii="宋体" w:hAnsi="宋体" w:eastAsia="宋体" w:cs="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23" w:type="dxa"/>
            <w:vAlign w:val="center"/>
          </w:tcPr>
          <w:p>
            <w:pPr>
              <w:jc w:val="center"/>
              <w:rPr>
                <w:rFonts w:hint="eastAsia" w:ascii="宋体" w:hAnsi="宋体" w:eastAsia="宋体" w:cs="宋体"/>
                <w:szCs w:val="21"/>
              </w:rPr>
            </w:pPr>
            <w:r>
              <w:rPr>
                <w:rFonts w:hint="eastAsia" w:ascii="宋体" w:hAnsi="宋体" w:eastAsia="宋体" w:cs="宋体"/>
                <w:szCs w:val="21"/>
              </w:rPr>
              <w:t>生产设备</w:t>
            </w:r>
          </w:p>
        </w:tc>
        <w:tc>
          <w:tcPr>
            <w:tcW w:w="1026"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70-80</w:t>
            </w:r>
          </w:p>
        </w:tc>
        <w:tc>
          <w:tcPr>
            <w:tcW w:w="2598" w:type="dxa"/>
            <w:vAlign w:val="center"/>
          </w:tcPr>
          <w:p>
            <w:pPr>
              <w:jc w:val="center"/>
              <w:rPr>
                <w:rFonts w:hint="default" w:ascii="宋体" w:hAnsi="宋体" w:eastAsia="宋体" w:cs="宋体"/>
                <w:szCs w:val="21"/>
                <w:lang w:val="en-US" w:eastAsia="zh-CN"/>
              </w:rPr>
            </w:pPr>
            <w:r>
              <w:rPr>
                <w:rFonts w:hint="eastAsia" w:ascii="宋体" w:hAnsi="宋体" w:eastAsia="宋体" w:cs="宋体"/>
                <w:szCs w:val="21"/>
              </w:rPr>
              <w:t>选用低噪声设备，</w:t>
            </w:r>
            <w:r>
              <w:rPr>
                <w:rFonts w:hint="eastAsia" w:ascii="宋体" w:hAnsi="宋体" w:eastAsia="宋体" w:cs="宋体"/>
                <w:szCs w:val="21"/>
                <w:lang w:val="en-US" w:eastAsia="zh-CN"/>
              </w:rPr>
              <w:t>距离衰减，LNG泵撬设置于隔声罩内（图4-2）</w:t>
            </w:r>
          </w:p>
        </w:tc>
        <w:tc>
          <w:tcPr>
            <w:tcW w:w="3015" w:type="dxa"/>
            <w:vAlign w:val="center"/>
          </w:tcPr>
          <w:p>
            <w:pPr>
              <w:jc w:val="center"/>
              <w:rPr>
                <w:rFonts w:hint="eastAsia" w:ascii="宋体" w:hAnsi="宋体" w:eastAsia="宋体" w:cs="宋体"/>
                <w:szCs w:val="21"/>
              </w:rPr>
            </w:pPr>
            <w:r>
              <w:rPr>
                <w:rFonts w:hint="eastAsia" w:ascii="宋体" w:hAnsi="宋体" w:eastAsia="宋体" w:cs="宋体"/>
                <w:szCs w:val="21"/>
              </w:rPr>
              <w:t>厂界噪声可满足《工业企业厂界环境噪声排放标准》（GB12348-2008）中</w:t>
            </w:r>
            <w:r>
              <w:rPr>
                <w:rFonts w:hint="eastAsia" w:ascii="宋体" w:hAnsi="宋体" w:eastAsia="宋体" w:cs="宋体"/>
                <w:szCs w:val="21"/>
                <w:lang w:val="en-US" w:eastAsia="zh-CN"/>
              </w:rPr>
              <w:t>2</w:t>
            </w:r>
            <w:r>
              <w:rPr>
                <w:rFonts w:hint="eastAsia" w:ascii="宋体" w:hAnsi="宋体" w:eastAsia="宋体" w:cs="宋体"/>
                <w:szCs w:val="21"/>
              </w:rPr>
              <w:t>类标准</w:t>
            </w:r>
          </w:p>
        </w:tc>
      </w:tr>
    </w:tbl>
    <w:p>
      <w:pPr>
        <w:pStyle w:val="5"/>
        <w:spacing w:line="500" w:lineRule="exact"/>
        <w:ind w:firstLine="480" w:firstLineChars="200"/>
        <w:rPr>
          <w:rFonts w:hint="eastAsia" w:cs="宋体"/>
          <w:b/>
        </w:rPr>
      </w:pPr>
      <w:bookmarkStart w:id="79" w:name="_Toc516158219"/>
      <w:bookmarkStart w:id="80" w:name="_Toc19501"/>
      <w:bookmarkStart w:id="81" w:name="_Toc516141747"/>
      <w:bookmarkStart w:id="82" w:name="_Toc516059082"/>
      <w:bookmarkStart w:id="83" w:name="_Toc516212516"/>
      <w:bookmarkStart w:id="84" w:name="_Toc516142949"/>
      <w:bookmarkStart w:id="85" w:name="_Toc11845"/>
      <w:r>
        <w:rPr>
          <w:rFonts w:hint="eastAsia" w:cs="宋体"/>
          <w:b/>
        </w:rPr>
        <w:t>4.1.4 固体废物</w:t>
      </w:r>
      <w:bookmarkEnd w:id="79"/>
      <w:bookmarkEnd w:id="80"/>
      <w:bookmarkEnd w:id="81"/>
      <w:bookmarkEnd w:id="82"/>
      <w:bookmarkEnd w:id="83"/>
      <w:bookmarkEnd w:id="84"/>
      <w:bookmarkEnd w:id="85"/>
    </w:p>
    <w:p>
      <w:pPr>
        <w:spacing w:line="48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sz w:val="24"/>
          <w:szCs w:val="24"/>
          <w:lang w:val="en-US" w:eastAsia="zh-CN"/>
        </w:rPr>
        <w:t>运营期固体废物主要为职工</w:t>
      </w:r>
      <w:r>
        <w:rPr>
          <w:rFonts w:hint="eastAsia" w:ascii="宋体" w:hAnsi="宋体" w:eastAsia="宋体" w:cs="宋体"/>
          <w:sz w:val="24"/>
          <w:szCs w:val="24"/>
        </w:rPr>
        <w:t>生活垃圾</w:t>
      </w:r>
      <w:r>
        <w:rPr>
          <w:rFonts w:hint="eastAsia" w:ascii="宋体" w:hAnsi="宋体" w:eastAsia="宋体" w:cs="宋体"/>
          <w:sz w:val="24"/>
          <w:szCs w:val="24"/>
          <w:lang w:eastAsia="zh-CN"/>
        </w:rPr>
        <w:t>，</w:t>
      </w:r>
      <w:r>
        <w:rPr>
          <w:rFonts w:hint="eastAsia" w:ascii="宋体" w:hAnsi="宋体" w:eastAsia="宋体" w:cs="宋体"/>
          <w:sz w:val="24"/>
          <w:lang w:val="en-US" w:eastAsia="zh-CN"/>
        </w:rPr>
        <w:t>站内设置垃圾桶（图4-3），生活垃圾集中收集后由环卫部门统一处理。</w:t>
      </w:r>
      <w:r>
        <w:rPr>
          <w:rFonts w:hint="eastAsia" w:ascii="宋体" w:hAnsi="宋体" w:eastAsia="宋体" w:cs="宋体"/>
          <w:sz w:val="24"/>
          <w:szCs w:val="24"/>
        </w:rPr>
        <w:t>固体废物均能妥善处置，不会产生二次污染，对环境的影响较小，治理措施可行。</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环保设施照片：</w:t>
      </w:r>
    </w:p>
    <w:p>
      <w:pP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lang w:val="en-US" w:eastAsia="zh-CN"/>
        </w:rPr>
        <w:drawing>
          <wp:inline distT="0" distB="0" distL="114300" distR="114300">
            <wp:extent cx="1541780" cy="2056765"/>
            <wp:effectExtent l="0" t="0" r="1270" b="635"/>
            <wp:docPr id="9" name="图片 9" descr="锅炉排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锅炉排气筒"/>
                    <pic:cNvPicPr>
                      <a:picLocks noChangeAspect="1"/>
                    </pic:cNvPicPr>
                  </pic:nvPicPr>
                  <pic:blipFill>
                    <a:blip r:embed="rId9"/>
                    <a:stretch>
                      <a:fillRect/>
                    </a:stretch>
                  </pic:blipFill>
                  <pic:spPr>
                    <a:xfrm>
                      <a:off x="0" y="0"/>
                      <a:ext cx="1541780" cy="2056765"/>
                    </a:xfrm>
                    <a:prstGeom prst="rect">
                      <a:avLst/>
                    </a:prstGeom>
                  </pic:spPr>
                </pic:pic>
              </a:graphicData>
            </a:graphic>
          </wp:inline>
        </w:drawing>
      </w:r>
      <w:r>
        <w:rPr>
          <w:rFonts w:hint="eastAsia" w:ascii="宋体" w:hAnsi="宋体" w:eastAsia="宋体" w:cs="宋体"/>
          <w:bCs/>
          <w:sz w:val="24"/>
          <w:szCs w:val="24"/>
          <w:lang w:val="en-US" w:eastAsia="zh-CN"/>
        </w:rPr>
        <w:t xml:space="preserve">         </w:t>
      </w:r>
      <w:r>
        <w:rPr>
          <w:rFonts w:hint="default" w:ascii="宋体" w:hAnsi="宋体" w:eastAsia="宋体" w:cs="宋体"/>
          <w:bCs/>
          <w:sz w:val="24"/>
          <w:szCs w:val="24"/>
          <w:lang w:val="en-US" w:eastAsia="zh-CN"/>
        </w:rPr>
        <w:drawing>
          <wp:inline distT="0" distB="0" distL="114300" distR="114300">
            <wp:extent cx="2638425" cy="1979295"/>
            <wp:effectExtent l="0" t="0" r="9525" b="1905"/>
            <wp:docPr id="10" name="图片 10" descr="隔声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隔声罩"/>
                    <pic:cNvPicPr>
                      <a:picLocks noChangeAspect="1"/>
                    </pic:cNvPicPr>
                  </pic:nvPicPr>
                  <pic:blipFill>
                    <a:blip r:embed="rId10"/>
                    <a:stretch>
                      <a:fillRect/>
                    </a:stretch>
                  </pic:blipFill>
                  <pic:spPr>
                    <a:xfrm>
                      <a:off x="0" y="0"/>
                      <a:ext cx="2638425" cy="1979295"/>
                    </a:xfrm>
                    <a:prstGeom prst="rect">
                      <a:avLst/>
                    </a:prstGeom>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bCs/>
          <w:sz w:val="24"/>
          <w:szCs w:val="24"/>
        </w:rPr>
        <w:t xml:space="preserve">图4-1 </w:t>
      </w:r>
      <w:r>
        <w:rPr>
          <w:rFonts w:hint="eastAsia" w:ascii="宋体" w:hAnsi="宋体" w:eastAsia="宋体" w:cs="宋体"/>
          <w:bCs/>
          <w:sz w:val="24"/>
          <w:szCs w:val="24"/>
          <w:lang w:val="en-US" w:eastAsia="zh-CN"/>
        </w:rPr>
        <w:t>天然气锅炉排气筒</w:t>
      </w:r>
      <w:r>
        <w:rPr>
          <w:rFonts w:hint="eastAsia" w:ascii="宋体" w:hAnsi="宋体" w:eastAsia="宋体" w:cs="宋体"/>
          <w:bCs/>
          <w:sz w:val="24"/>
          <w:szCs w:val="24"/>
        </w:rPr>
        <w:t xml:space="preserve">              图4-2 </w:t>
      </w:r>
      <w:r>
        <w:rPr>
          <w:rFonts w:hint="eastAsia" w:ascii="宋体" w:hAnsi="宋体" w:eastAsia="宋体" w:cs="宋体"/>
          <w:sz w:val="24"/>
          <w:szCs w:val="24"/>
          <w:lang w:val="en-US" w:eastAsia="zh-CN"/>
        </w:rPr>
        <w:t>LNG泵撬隔声罩</w:t>
      </w:r>
    </w:p>
    <w:p>
      <w:pPr>
        <w:pStyle w:val="2"/>
        <w:ind w:left="0" w:leftChars="0" w:firstLine="0" w:firstLineChars="0"/>
        <w:jc w:val="center"/>
      </w:pPr>
      <w:r>
        <w:drawing>
          <wp:inline distT="0" distB="0" distL="114300" distR="114300">
            <wp:extent cx="3078480" cy="1731010"/>
            <wp:effectExtent l="0" t="0" r="762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78480" cy="1731010"/>
                    </a:xfrm>
                    <a:prstGeom prst="rect">
                      <a:avLst/>
                    </a:prstGeom>
                    <a:noFill/>
                    <a:ln>
                      <a:noFill/>
                    </a:ln>
                  </pic:spPr>
                </pic:pic>
              </a:graphicData>
            </a:graphic>
          </wp:inline>
        </w:drawing>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4-3 垃圾桶</w:t>
      </w:r>
    </w:p>
    <w:p>
      <w:pPr>
        <w:pStyle w:val="4"/>
        <w:spacing w:line="500" w:lineRule="exact"/>
        <w:rPr>
          <w:rFonts w:hint="eastAsia" w:cs="宋体"/>
        </w:rPr>
      </w:pPr>
      <w:bookmarkStart w:id="86" w:name="_Toc2681"/>
      <w:r>
        <w:rPr>
          <w:rFonts w:hint="eastAsia" w:cs="宋体"/>
        </w:rPr>
        <w:t>4.2 其他环境保护设施</w:t>
      </w:r>
      <w:bookmarkEnd w:id="86"/>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本项目</w:t>
      </w:r>
      <w:r>
        <w:rPr>
          <w:rFonts w:hint="eastAsia" w:ascii="宋体" w:hAnsi="宋体" w:eastAsia="宋体" w:cs="宋体"/>
          <w:sz w:val="24"/>
          <w:szCs w:val="24"/>
          <w:lang w:val="en-US" w:eastAsia="zh-CN"/>
        </w:rPr>
        <w:t>车厂区地面已硬化，厂区安装监控系统（图4-4）、可燃气体探测器（图4-5）并配备消防设施（图4-6）</w:t>
      </w:r>
      <w:r>
        <w:rPr>
          <w:rFonts w:hint="eastAsia" w:ascii="宋体" w:hAnsi="宋体" w:eastAsia="宋体" w:cs="宋体"/>
          <w:sz w:val="24"/>
          <w:szCs w:val="24"/>
        </w:rPr>
        <w:t>。</w:t>
      </w:r>
    </w:p>
    <w:p>
      <w:pPr>
        <w:pStyle w:val="2"/>
        <w:keepNext w:val="0"/>
        <w:keepLines w:val="0"/>
        <w:pageBreakBefore w:val="0"/>
        <w:widowControl w:val="0"/>
        <w:kinsoku/>
        <w:wordWrap/>
        <w:overflowPunct/>
        <w:topLinePunct w:val="0"/>
        <w:autoSpaceDE/>
        <w:autoSpaceDN/>
        <w:bidi w:val="0"/>
        <w:adjustRightInd/>
        <w:snapToGrid/>
        <w:ind w:left="0" w:leftChars="0"/>
        <w:jc w:val="both"/>
        <w:textAlignment w:val="auto"/>
        <w:rPr>
          <w:rFonts w:hint="eastAsia" w:eastAsia="等线"/>
          <w:lang w:val="en-US" w:eastAsia="zh-CN"/>
        </w:rPr>
      </w:pPr>
      <w:r>
        <w:rPr>
          <w:rFonts w:hint="eastAsia"/>
          <w:lang w:val="en-US" w:eastAsia="zh-CN"/>
        </w:rPr>
        <w:t xml:space="preserve">   </w:t>
      </w:r>
      <w:r>
        <w:drawing>
          <wp:inline distT="0" distB="0" distL="114300" distR="114300">
            <wp:extent cx="2203450" cy="1506220"/>
            <wp:effectExtent l="0" t="0" r="6350" b="177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2203450" cy="15062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53565" cy="1524635"/>
            <wp:effectExtent l="0" t="0" r="13335"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1853565" cy="1524635"/>
                    </a:xfrm>
                    <a:prstGeom prst="rect">
                      <a:avLst/>
                    </a:prstGeom>
                    <a:noFill/>
                    <a:ln>
                      <a:noFill/>
                    </a:ln>
                  </pic:spPr>
                </pic:pic>
              </a:graphicData>
            </a:graphic>
          </wp:inline>
        </w:drawing>
      </w:r>
    </w:p>
    <w:p>
      <w:pPr>
        <w:ind w:firstLine="960" w:firstLineChars="4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图4-4 厂区监控系统           图4-5 可燃气体探测器</w:t>
      </w:r>
    </w:p>
    <w:p>
      <w:pPr>
        <w:pStyle w:val="2"/>
        <w:ind w:left="0" w:leftChars="0" w:firstLine="0" w:firstLineChars="0"/>
        <w:jc w:val="center"/>
      </w:pPr>
      <w:r>
        <w:drawing>
          <wp:inline distT="0" distB="0" distL="114300" distR="114300">
            <wp:extent cx="2176145" cy="1263015"/>
            <wp:effectExtent l="0" t="0" r="14605" b="133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tretch>
                      <a:fillRect/>
                    </a:stretch>
                  </pic:blipFill>
                  <pic:spPr>
                    <a:xfrm>
                      <a:off x="0" y="0"/>
                      <a:ext cx="2176145" cy="1263015"/>
                    </a:xfrm>
                    <a:prstGeom prst="rect">
                      <a:avLst/>
                    </a:prstGeom>
                    <a:noFill/>
                    <a:ln>
                      <a:noFill/>
                    </a:ln>
                  </pic:spPr>
                </pic:pic>
              </a:graphicData>
            </a:graphic>
          </wp:inline>
        </w:drawing>
      </w:r>
    </w:p>
    <w:p>
      <w:pPr>
        <w:jc w:val="center"/>
        <w:rPr>
          <w:rFonts w:hint="default"/>
          <w:lang w:val="en-US" w:eastAsia="zh-CN"/>
        </w:rPr>
      </w:pPr>
      <w:r>
        <w:rPr>
          <w:rFonts w:hint="eastAsia" w:ascii="宋体" w:hAnsi="宋体" w:eastAsia="宋体" w:cs="宋体"/>
          <w:sz w:val="24"/>
          <w:szCs w:val="24"/>
          <w:lang w:val="en-US" w:eastAsia="zh-CN"/>
        </w:rPr>
        <w:t>图4-6 消防设施</w:t>
      </w:r>
    </w:p>
    <w:p>
      <w:pPr>
        <w:pStyle w:val="4"/>
        <w:spacing w:line="500" w:lineRule="exact"/>
        <w:rPr>
          <w:rFonts w:hint="eastAsia" w:cs="宋体"/>
        </w:rPr>
      </w:pPr>
      <w:bookmarkStart w:id="87" w:name="_Toc13031"/>
      <w:r>
        <w:rPr>
          <w:rFonts w:hint="eastAsia" w:cs="宋体"/>
        </w:rPr>
        <w:t>4.3 环保设施投资及“三同时”落实情况</w:t>
      </w:r>
      <w:bookmarkEnd w:id="87"/>
    </w:p>
    <w:p>
      <w:pPr>
        <w:widowControl/>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sz w:val="24"/>
          <w:szCs w:val="24"/>
          <w:lang w:eastAsia="zh-CN"/>
        </w:rPr>
        <w:t>阳原县鑫发天然气加注站</w:t>
      </w:r>
      <w:r>
        <w:rPr>
          <w:rFonts w:hint="eastAsia" w:ascii="宋体" w:hAnsi="宋体" w:eastAsia="宋体" w:cs="宋体"/>
          <w:sz w:val="24"/>
          <w:szCs w:val="24"/>
        </w:rPr>
        <w:t>环境影响报告表》，本项目环境保护“三同时”验收一览表如下：</w:t>
      </w:r>
      <w:bookmarkStart w:id="88" w:name="_Toc516142951"/>
      <w:bookmarkStart w:id="89" w:name="_Toc516141749"/>
      <w:bookmarkStart w:id="90" w:name="_Toc516212519"/>
      <w:bookmarkStart w:id="91" w:name="_Toc509824287"/>
      <w:bookmarkStart w:id="92" w:name="_Toc509933855"/>
      <w:bookmarkStart w:id="93" w:name="_Toc516158222"/>
    </w:p>
    <w:p>
      <w:pPr>
        <w:widowControl/>
        <w:spacing w:line="500" w:lineRule="exact"/>
        <w:jc w:val="center"/>
        <w:rPr>
          <w:rFonts w:hint="eastAsia" w:ascii="宋体" w:hAnsi="宋体" w:eastAsia="宋体" w:cs="宋体"/>
          <w:b/>
          <w:sz w:val="24"/>
          <w:szCs w:val="24"/>
        </w:rPr>
      </w:pPr>
      <w:r>
        <w:rPr>
          <w:rFonts w:hint="eastAsia" w:ascii="宋体" w:hAnsi="宋体" w:eastAsia="宋体" w:cs="宋体"/>
          <w:b/>
          <w:bCs/>
          <w:sz w:val="24"/>
          <w:szCs w:val="24"/>
        </w:rPr>
        <w:t>表4-3 项目环境保护“三同时”验收落实情况一览表</w:t>
      </w:r>
      <w:bookmarkEnd w:id="88"/>
      <w:bookmarkEnd w:id="89"/>
      <w:bookmarkEnd w:id="90"/>
      <w:bookmarkEnd w:id="91"/>
      <w:bookmarkEnd w:id="92"/>
      <w:bookmarkEnd w:id="93"/>
    </w:p>
    <w:tbl>
      <w:tblPr>
        <w:tblStyle w:val="30"/>
        <w:tblW w:w="10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450"/>
        <w:gridCol w:w="1878"/>
        <w:gridCol w:w="1072"/>
        <w:gridCol w:w="1075"/>
        <w:gridCol w:w="2598"/>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65" w:type="dxa"/>
            <w:gridSpan w:val="2"/>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bookmarkStart w:id="94" w:name="_Hlk535060291"/>
            <w:r>
              <w:rPr>
                <w:rFonts w:hint="eastAsia" w:ascii="宋体" w:hAnsi="宋体" w:eastAsia="宋体" w:cs="宋体"/>
                <w:color w:val="000000"/>
                <w:kern w:val="0"/>
                <w:sz w:val="21"/>
                <w:szCs w:val="21"/>
              </w:rPr>
              <w:t>项目</w:t>
            </w:r>
          </w:p>
        </w:tc>
        <w:tc>
          <w:tcPr>
            <w:tcW w:w="1878"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环评验收</w:t>
            </w:r>
          </w:p>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内容</w:t>
            </w:r>
          </w:p>
        </w:tc>
        <w:tc>
          <w:tcPr>
            <w:tcW w:w="1072"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环评投资</w:t>
            </w:r>
          </w:p>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（万元）</w:t>
            </w:r>
          </w:p>
        </w:tc>
        <w:tc>
          <w:tcPr>
            <w:tcW w:w="1075"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实际投资</w:t>
            </w:r>
          </w:p>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（万元）</w:t>
            </w:r>
          </w:p>
        </w:tc>
        <w:tc>
          <w:tcPr>
            <w:tcW w:w="2598"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验收标准</w:t>
            </w:r>
          </w:p>
        </w:tc>
        <w:tc>
          <w:tcPr>
            <w:tcW w:w="2051"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415" w:type="dxa"/>
            <w:vMerge w:val="restart"/>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废气</w:t>
            </w:r>
          </w:p>
        </w:tc>
        <w:tc>
          <w:tcPr>
            <w:tcW w:w="1450"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锅炉烟气</w:t>
            </w:r>
          </w:p>
        </w:tc>
        <w:tc>
          <w:tcPr>
            <w:tcW w:w="1878"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天然气+8m排气筒</w:t>
            </w:r>
          </w:p>
        </w:tc>
        <w:tc>
          <w:tcPr>
            <w:tcW w:w="1072"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kern w:val="0"/>
                <w:sz w:val="21"/>
                <w:szCs w:val="21"/>
                <w:lang w:eastAsia="zh-CN"/>
              </w:rPr>
            </w:pPr>
            <w:r>
              <w:rPr>
                <w:rFonts w:hint="eastAsia" w:ascii="宋体" w:hAnsi="宋体" w:eastAsia="宋体" w:cs="宋体"/>
                <w:sz w:val="21"/>
                <w:szCs w:val="21"/>
                <w:lang w:val="en-US" w:eastAsia="zh-CN"/>
              </w:rPr>
              <w:t>2</w:t>
            </w:r>
          </w:p>
        </w:tc>
        <w:tc>
          <w:tcPr>
            <w:tcW w:w="1075"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w:t>
            </w:r>
          </w:p>
        </w:tc>
        <w:tc>
          <w:tcPr>
            <w:tcW w:w="2598"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lang w:val="en-US"/>
              </w:rPr>
            </w:pPr>
            <w:r>
              <w:rPr>
                <w:rFonts w:hint="eastAsia" w:ascii="宋体" w:hAnsi="宋体" w:eastAsia="宋体" w:cs="宋体"/>
                <w:szCs w:val="24"/>
              </w:rPr>
              <w:t>《锅炉大气污染物排放标准》(GB13271-2014)表3特别排放限值要求</w:t>
            </w:r>
          </w:p>
        </w:tc>
        <w:tc>
          <w:tcPr>
            <w:tcW w:w="2051"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已落实，项目安装1台0.5天然气锅炉，锅炉烟气经1根8m高排气筒排放，由于项目未运行，所以未进行污染物监测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15" w:type="dxa"/>
            <w:vMerge w:val="continue"/>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p>
        </w:tc>
        <w:tc>
          <w:tcPr>
            <w:tcW w:w="1450"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BOG回收撬</w:t>
            </w:r>
          </w:p>
        </w:tc>
        <w:tc>
          <w:tcPr>
            <w:tcW w:w="1878"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072"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075"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w:t>
            </w:r>
          </w:p>
        </w:tc>
        <w:tc>
          <w:tcPr>
            <w:tcW w:w="2598"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szCs w:val="24"/>
                <w:lang w:val="en-US" w:eastAsia="zh-CN"/>
              </w:rPr>
            </w:pPr>
            <w:r>
              <w:rPr>
                <w:rFonts w:hint="eastAsia" w:ascii="宋体" w:hAnsi="宋体" w:eastAsia="宋体" w:cs="宋体"/>
                <w:szCs w:val="24"/>
                <w:lang w:val="en-US" w:eastAsia="zh-CN"/>
              </w:rPr>
              <w:t>-</w:t>
            </w:r>
          </w:p>
        </w:tc>
        <w:tc>
          <w:tcPr>
            <w:tcW w:w="2051"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减少天然气向空气中散逸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噪声</w:t>
            </w:r>
          </w:p>
        </w:tc>
        <w:tc>
          <w:tcPr>
            <w:tcW w:w="1450"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LNG泵撬</w:t>
            </w:r>
          </w:p>
        </w:tc>
        <w:tc>
          <w:tcPr>
            <w:tcW w:w="1878"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置于独立罩内</w:t>
            </w:r>
          </w:p>
        </w:tc>
        <w:tc>
          <w:tcPr>
            <w:tcW w:w="1072" w:type="dxa"/>
            <w:vAlign w:val="center"/>
          </w:tcPr>
          <w:p>
            <w:pPr>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3</w:t>
            </w:r>
          </w:p>
        </w:tc>
        <w:tc>
          <w:tcPr>
            <w:tcW w:w="1075" w:type="dxa"/>
            <w:vAlign w:val="center"/>
          </w:tcPr>
          <w:p>
            <w:pPr>
              <w:keepLines w:val="0"/>
              <w:pageBreakBefore w:val="0"/>
              <w:widowControl/>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3</w:t>
            </w:r>
          </w:p>
        </w:tc>
        <w:tc>
          <w:tcPr>
            <w:tcW w:w="2598"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《工业企业厂界环境噪声排放标准》（GB12348-2008）</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类标准</w:t>
            </w:r>
          </w:p>
        </w:tc>
        <w:tc>
          <w:tcPr>
            <w:tcW w:w="2051"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已落实，</w:t>
            </w:r>
            <w:r>
              <w:rPr>
                <w:rFonts w:hint="eastAsia" w:ascii="宋体" w:hAnsi="宋体" w:eastAsia="宋体" w:cs="宋体"/>
                <w:sz w:val="21"/>
                <w:szCs w:val="21"/>
              </w:rPr>
              <w:t>选用低噪声设备，</w:t>
            </w:r>
            <w:r>
              <w:rPr>
                <w:rFonts w:hint="eastAsia" w:ascii="宋体" w:hAnsi="宋体" w:eastAsia="宋体" w:cs="宋体"/>
                <w:sz w:val="21"/>
                <w:szCs w:val="21"/>
                <w:lang w:val="en-US" w:eastAsia="zh-CN"/>
              </w:rPr>
              <w:t>LNG泵撬设置于隔声罩内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p>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固废</w:t>
            </w:r>
          </w:p>
        </w:tc>
        <w:tc>
          <w:tcPr>
            <w:tcW w:w="1450"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生活</w:t>
            </w:r>
          </w:p>
          <w:p>
            <w:pPr>
              <w:keepNext/>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sz w:val="21"/>
                <w:szCs w:val="21"/>
              </w:rPr>
              <w:t>垃圾</w:t>
            </w:r>
          </w:p>
        </w:tc>
        <w:tc>
          <w:tcPr>
            <w:tcW w:w="1878"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sz w:val="21"/>
                <w:szCs w:val="21"/>
              </w:rPr>
              <w:t>垃圾桶</w:t>
            </w:r>
            <w:r>
              <w:rPr>
                <w:rFonts w:hint="eastAsia" w:ascii="宋体" w:hAnsi="宋体" w:eastAsia="宋体" w:cs="宋体"/>
                <w:sz w:val="21"/>
                <w:szCs w:val="21"/>
                <w:lang w:val="en-US" w:eastAsia="zh-CN"/>
              </w:rPr>
              <w:t>5个</w:t>
            </w:r>
          </w:p>
        </w:tc>
        <w:tc>
          <w:tcPr>
            <w:tcW w:w="1072"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0.5</w:t>
            </w:r>
          </w:p>
        </w:tc>
        <w:tc>
          <w:tcPr>
            <w:tcW w:w="1075"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0.5</w:t>
            </w:r>
          </w:p>
        </w:tc>
        <w:tc>
          <w:tcPr>
            <w:tcW w:w="2598"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《一般工业固体废物贮存、处置场污染控制标准》（GB18599-2001）</w:t>
            </w:r>
            <w:r>
              <w:rPr>
                <w:rFonts w:hint="eastAsia" w:ascii="宋体" w:hAnsi="宋体" w:eastAsia="宋体" w:cs="宋体"/>
                <w:color w:val="000000"/>
                <w:kern w:val="0"/>
                <w:sz w:val="21"/>
                <w:szCs w:val="21"/>
                <w:lang w:val="en-US" w:eastAsia="zh-CN"/>
              </w:rPr>
              <w:t>及2013年修改单的相关要求</w:t>
            </w:r>
          </w:p>
        </w:tc>
        <w:tc>
          <w:tcPr>
            <w:tcW w:w="2051"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已落实，生活垃圾由存放于厂区垃圾桶内，定期交环卫部门处置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65" w:type="dxa"/>
            <w:gridSpan w:val="2"/>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合计</w:t>
            </w:r>
          </w:p>
        </w:tc>
        <w:tc>
          <w:tcPr>
            <w:tcW w:w="1878" w:type="dxa"/>
            <w:vAlign w:val="center"/>
          </w:tcPr>
          <w:p>
            <w:pPr>
              <w:keepNext/>
              <w:keepLines w:val="0"/>
              <w:pageBreakBefore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072"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5.5</w:t>
            </w:r>
          </w:p>
        </w:tc>
        <w:tc>
          <w:tcPr>
            <w:tcW w:w="1075" w:type="dxa"/>
            <w:vAlign w:val="center"/>
          </w:tcPr>
          <w:p>
            <w:pPr>
              <w:keepLines w:val="0"/>
              <w:pageBreakBefore w:val="0"/>
              <w:kinsoku/>
              <w:wordWrap/>
              <w:overflowPunct/>
              <w:topLinePunct w:val="0"/>
              <w:autoSpaceDE/>
              <w:autoSpaceDN/>
              <w:bidi w:val="0"/>
              <w:adjustRightInd/>
              <w:spacing w:line="240" w:lineRule="auto"/>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15.5</w:t>
            </w:r>
          </w:p>
        </w:tc>
        <w:tc>
          <w:tcPr>
            <w:tcW w:w="2598"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2051" w:type="dxa"/>
            <w:vAlign w:val="center"/>
          </w:tcPr>
          <w:p>
            <w:pPr>
              <w:keepLines w:val="0"/>
              <w:pageBreakBefore w:val="0"/>
              <w:kinsoku/>
              <w:wordWrap/>
              <w:overflowPunct/>
              <w:topLinePunct w:val="0"/>
              <w:autoSpaceDE/>
              <w:autoSpaceDN/>
              <w:bidi w:val="0"/>
              <w:adjustRightInd/>
              <w:spacing w:line="240" w:lineRule="auto"/>
              <w:jc w:val="center"/>
              <w:rPr>
                <w:rFonts w:hint="eastAsia" w:ascii="宋体" w:hAnsi="宋体" w:eastAsia="宋体" w:cs="宋体"/>
                <w:color w:val="000000"/>
                <w:kern w:val="0"/>
                <w:sz w:val="21"/>
                <w:szCs w:val="21"/>
              </w:rPr>
            </w:pPr>
          </w:p>
        </w:tc>
      </w:tr>
      <w:bookmarkEnd w:id="94"/>
    </w:tbl>
    <w:p>
      <w:pPr>
        <w:spacing w:line="500" w:lineRule="exact"/>
        <w:ind w:firstLine="480" w:firstLineChars="200"/>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ascii="宋体" w:hAnsi="宋体" w:eastAsia="宋体" w:cs="宋体"/>
          <w:sz w:val="24"/>
          <w:szCs w:val="24"/>
        </w:rPr>
      </w:pPr>
    </w:p>
    <w:p>
      <w:pPr>
        <w:pStyle w:val="3"/>
        <w:spacing w:line="500" w:lineRule="exact"/>
        <w:rPr>
          <w:rFonts w:hint="eastAsia" w:cs="宋体"/>
        </w:rPr>
      </w:pPr>
      <w:bookmarkStart w:id="95" w:name="_Toc8234"/>
      <w:r>
        <w:rPr>
          <w:rFonts w:hint="eastAsia" w:cs="宋体"/>
        </w:rPr>
        <w:t>5 环评主要结论及审批部门审批决定</w:t>
      </w:r>
      <w:bookmarkEnd w:id="95"/>
    </w:p>
    <w:p>
      <w:pPr>
        <w:pStyle w:val="4"/>
        <w:spacing w:line="500" w:lineRule="exact"/>
        <w:rPr>
          <w:rFonts w:hint="eastAsia" w:cs="宋体"/>
        </w:rPr>
      </w:pPr>
      <w:bookmarkStart w:id="96" w:name="_Toc2986"/>
      <w:r>
        <w:rPr>
          <w:rFonts w:hint="eastAsia" w:cs="宋体"/>
        </w:rPr>
        <w:t>5.1建设项目环评报告表的主要结论</w:t>
      </w:r>
      <w:bookmarkEnd w:id="96"/>
    </w:p>
    <w:p>
      <w:pPr>
        <w:keepNext w:val="0"/>
        <w:keepLines w:val="0"/>
        <w:pageBreakBefore w:val="0"/>
        <w:widowControl w:val="0"/>
        <w:wordWrap/>
        <w:overflowPunct/>
        <w:topLinePunct w:val="0"/>
        <w:autoSpaceDN/>
        <w:bidi w:val="0"/>
        <w:spacing w:line="500" w:lineRule="exact"/>
        <w:ind w:left="0" w:firstLine="480" w:firstLineChars="200"/>
        <w:jc w:val="both"/>
        <w:textAlignment w:val="auto"/>
        <w:rPr>
          <w:rFonts w:hint="eastAsia" w:ascii="宋体" w:hAnsi="宋体" w:eastAsia="宋体" w:cs="宋体"/>
          <w:b/>
          <w:sz w:val="24"/>
          <w:szCs w:val="24"/>
        </w:rPr>
      </w:pPr>
      <w:r>
        <w:rPr>
          <w:rFonts w:hint="eastAsia" w:ascii="宋体" w:hAnsi="宋体" w:eastAsia="宋体" w:cs="宋体"/>
          <w:b/>
          <w:sz w:val="24"/>
          <w:szCs w:val="24"/>
        </w:rPr>
        <w:t>1、建设项目概况</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本项目属天然气加注站项目，总投资1229.05万元。建设地点位于阳原县东井集镇拣花堡村109国道以北，厂址中心地理坐标为北纬40°3′11″，东经114°2′35″。项目</w:t>
      </w:r>
      <w:r>
        <w:rPr>
          <w:rFonts w:hint="eastAsia" w:ascii="宋体" w:hAnsi="宋体" w:eastAsia="宋体" w:cs="宋体"/>
          <w:sz w:val="24"/>
          <w:szCs w:val="24"/>
          <w:lang w:val="en-US" w:eastAsia="zh-CN"/>
        </w:rPr>
        <w:t>东</w:t>
      </w:r>
      <w:r>
        <w:rPr>
          <w:rFonts w:hint="eastAsia" w:ascii="宋体" w:hAnsi="宋体" w:eastAsia="宋体" w:cs="宋体"/>
          <w:sz w:val="24"/>
          <w:szCs w:val="24"/>
        </w:rPr>
        <w:t>侧57m处为鑫发加油站、</w:t>
      </w:r>
      <w:r>
        <w:rPr>
          <w:rFonts w:hint="eastAsia" w:ascii="宋体" w:hAnsi="宋体" w:eastAsia="宋体" w:cs="宋体"/>
          <w:sz w:val="24"/>
          <w:szCs w:val="24"/>
          <w:lang w:val="en-US" w:eastAsia="zh-CN"/>
        </w:rPr>
        <w:t>西侧</w:t>
      </w:r>
      <w:r>
        <w:rPr>
          <w:rFonts w:hint="eastAsia" w:ascii="宋体" w:hAnsi="宋体" w:eastAsia="宋体" w:cs="宋体"/>
          <w:sz w:val="24"/>
          <w:szCs w:val="24"/>
        </w:rPr>
        <w:t>1756m为东井集镇，南侧</w:t>
      </w:r>
      <w:r>
        <w:rPr>
          <w:rFonts w:hint="eastAsia" w:ascii="宋体" w:hAnsi="宋体" w:eastAsia="宋体" w:cs="宋体"/>
          <w:sz w:val="24"/>
          <w:szCs w:val="24"/>
          <w:lang w:val="en-US" w:eastAsia="zh-CN"/>
        </w:rPr>
        <w:t>1800</w:t>
      </w:r>
      <w:r>
        <w:rPr>
          <w:rFonts w:hint="eastAsia" w:ascii="宋体" w:hAnsi="宋体" w:eastAsia="宋体" w:cs="宋体"/>
          <w:sz w:val="24"/>
          <w:szCs w:val="24"/>
        </w:rPr>
        <w:t>m处为咸水皂村，东侧</w:t>
      </w:r>
      <w:r>
        <w:rPr>
          <w:rFonts w:hint="eastAsia" w:ascii="宋体" w:hAnsi="宋体" w:eastAsia="宋体" w:cs="宋体"/>
          <w:sz w:val="24"/>
          <w:szCs w:val="24"/>
          <w:lang w:val="en-US" w:eastAsia="zh-CN"/>
        </w:rPr>
        <w:t>1460</w:t>
      </w:r>
      <w:r>
        <w:rPr>
          <w:rFonts w:hint="eastAsia" w:ascii="宋体" w:hAnsi="宋体" w:eastAsia="宋体" w:cs="宋体"/>
          <w:sz w:val="24"/>
          <w:szCs w:val="24"/>
        </w:rPr>
        <w:t>m处为拣花堡村，北侧178m处为顾家营村。本项目总占地面积</w:t>
      </w:r>
      <w:r>
        <w:rPr>
          <w:rFonts w:hint="eastAsia" w:ascii="宋体" w:hAnsi="宋体" w:eastAsia="宋体" w:cs="宋体"/>
          <w:sz w:val="24"/>
          <w:szCs w:val="24"/>
          <w:lang w:val="en-US" w:eastAsia="zh-CN"/>
        </w:rPr>
        <w:t>2961</w:t>
      </w:r>
      <w:r>
        <w:rPr>
          <w:rFonts w:hint="eastAsia" w:ascii="宋体" w:hAnsi="宋体" w:eastAsia="宋体" w:cs="宋体"/>
          <w:sz w:val="24"/>
          <w:szCs w:val="24"/>
        </w:rPr>
        <w:t>m</w:t>
      </w:r>
      <w:r>
        <w:rPr>
          <w:rFonts w:hint="eastAsia" w:ascii="宋体" w:hAnsi="宋体" w:eastAsia="宋体" w:cs="宋体"/>
          <w:sz w:val="24"/>
          <w:szCs w:val="24"/>
          <w:vertAlign w:val="superscript"/>
        </w:rPr>
        <w:t>2</w:t>
      </w:r>
      <w:r>
        <w:rPr>
          <w:rFonts w:hint="eastAsia" w:ascii="宋体" w:hAnsi="宋体" w:eastAsia="宋体" w:cs="宋体"/>
          <w:sz w:val="24"/>
          <w:szCs w:val="24"/>
        </w:rPr>
        <w:t>，总建面积2042m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主要建设内容包括站房、罩棚、储气罐、锅炉房等主体设施以及站区配套的通信、仪表、配电、采暖、给排水等。</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本项目建成后LNG加气为2625万Nm</w:t>
      </w:r>
      <w:r>
        <w:rPr>
          <w:rFonts w:hint="eastAsia" w:ascii="宋体" w:hAnsi="宋体" w:eastAsia="宋体" w:cs="宋体"/>
          <w:sz w:val="24"/>
          <w:szCs w:val="24"/>
          <w:vertAlign w:val="superscript"/>
        </w:rPr>
        <w:t>3</w:t>
      </w:r>
      <w:r>
        <w:rPr>
          <w:rFonts w:hint="eastAsia" w:ascii="宋体" w:hAnsi="宋体" w:eastAsia="宋体" w:cs="宋体"/>
          <w:sz w:val="24"/>
          <w:szCs w:val="24"/>
        </w:rPr>
        <w:t>/a。</w:t>
      </w:r>
    </w:p>
    <w:p>
      <w:pPr>
        <w:keepNext w:val="0"/>
        <w:keepLines w:val="0"/>
        <w:pageBreakBefore w:val="0"/>
        <w:widowControl w:val="0"/>
        <w:numPr>
          <w:ilvl w:val="0"/>
          <w:numId w:val="6"/>
        </w:numPr>
        <w:kinsoku w:val="0"/>
        <w:wordWrap/>
        <w:overflowPunct/>
        <w:topLinePunct w:val="0"/>
        <w:autoSpaceDN/>
        <w:bidi w:val="0"/>
        <w:snapToGrid w:val="0"/>
        <w:spacing w:line="500" w:lineRule="exact"/>
        <w:ind w:left="0" w:firstLine="480"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环境质量现状</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（1）环境空气：达到《环境空气质量标准》（GB3095-2012）二级标准。</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（2）地下水：达到《地下水质量标准》（GB/T14848-93）Ⅲ类标准。</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（3）声环境：本项目所在地位于阳原县东井集镇拣花堡村109国道以北，属于《声环境质量标准》(GB3096-2008)2类功能区，110国道红线外两侧35m内执行4a类标准。</w:t>
      </w:r>
    </w:p>
    <w:p>
      <w:pPr>
        <w:keepNext w:val="0"/>
        <w:keepLines w:val="0"/>
        <w:pageBreakBefore w:val="0"/>
        <w:widowControl w:val="0"/>
        <w:numPr>
          <w:ilvl w:val="0"/>
          <w:numId w:val="6"/>
        </w:numPr>
        <w:kinsoku w:val="0"/>
        <w:wordWrap/>
        <w:overflowPunct/>
        <w:topLinePunct w:val="0"/>
        <w:autoSpaceDN/>
        <w:bidi w:val="0"/>
        <w:snapToGrid w:val="0"/>
        <w:spacing w:line="500" w:lineRule="exact"/>
        <w:ind w:left="0" w:firstLine="480"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环境影响及环保措施可行性分析结论  </w:t>
      </w:r>
    </w:p>
    <w:p>
      <w:pPr>
        <w:keepNext w:val="0"/>
        <w:keepLines w:val="0"/>
        <w:pageBreakBefore w:val="0"/>
        <w:widowControl w:val="0"/>
        <w:kinsoku w:val="0"/>
        <w:wordWrap/>
        <w:overflowPunct/>
        <w:topLinePunct w:val="0"/>
        <w:autoSpaceDN/>
        <w:bidi w:val="0"/>
        <w:snapToGrid w:val="0"/>
        <w:spacing w:line="500" w:lineRule="exact"/>
        <w:ind w:left="0" w:firstLine="480"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1）废气</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本项目营运期产生的废气主要有LNG 放散、加气过程产生的少量天然气（主要成分为甲烷）；加气、油车辆行驶过程中排放的汽车尾气,天然气锅炉产生的锅炉烟气。</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（2）LNG 放散、加注过程产生废气环境影响分析</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本项目使用的 LNG 经槽车运至站内卸车，经管道输送至低温储存罐中，储存罐容积为 60m</w:t>
      </w:r>
      <w:r>
        <w:rPr>
          <w:rFonts w:hint="eastAsia" w:ascii="宋体" w:hAnsi="宋体" w:eastAsia="宋体" w:cs="宋体"/>
          <w:sz w:val="24"/>
          <w:szCs w:val="24"/>
          <w:vertAlign w:val="superscript"/>
        </w:rPr>
        <w:t>3</w:t>
      </w:r>
      <w:r>
        <w:rPr>
          <w:rFonts w:hint="eastAsia" w:ascii="宋体" w:hAnsi="宋体" w:eastAsia="宋体" w:cs="宋体"/>
          <w:sz w:val="24"/>
          <w:szCs w:val="24"/>
        </w:rPr>
        <w:t>，储罐内储存过程中需进行自动调压，在此期间，部分气化的天然气将经过加热器加热后经放散口放散，放散废气主要为天然气。在加强日常维护与管理的情况下，其泄漏量仅为加气量的十万分之一，在加强加气通风条件情况下，其无组织排放，不会对周围环境造成影响。</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（3）加气车辆汽车尾气环境影响分析</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汽车排出尾气中的主要污染物是 CO、HC、NOx 等，其污染物排放状况主要取决于车辆本身及其运行状态。为避免进出加气加油车辆噪声对项目影响，对出入加气加油站的机动车严格管理，采取车辆进站时减速、禁止鸣笛、加气加油时车辆熄火和平稳启动等措施，使区域内的交通噪声降到最低值。</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（4）天然气锅炉烟气环境影响分析</w:t>
      </w:r>
    </w:p>
    <w:p>
      <w:pPr>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本项目燃气锅炉产生SO</w:t>
      </w:r>
      <w:r>
        <w:rPr>
          <w:rFonts w:hint="eastAsia" w:ascii="宋体" w:hAnsi="宋体" w:eastAsia="宋体" w:cs="宋体"/>
          <w:sz w:val="24"/>
          <w:szCs w:val="24"/>
          <w:vertAlign w:val="subscript"/>
          <w:lang w:bidi="ar"/>
        </w:rPr>
        <w:t>2</w:t>
      </w:r>
      <w:r>
        <w:rPr>
          <w:rFonts w:hint="eastAsia" w:ascii="宋体" w:hAnsi="宋体" w:eastAsia="宋体" w:cs="宋体"/>
          <w:sz w:val="24"/>
          <w:szCs w:val="24"/>
          <w:lang w:bidi="ar"/>
        </w:rPr>
        <w:t>和NO</w:t>
      </w:r>
      <w:r>
        <w:rPr>
          <w:rFonts w:hint="eastAsia" w:ascii="宋体" w:hAnsi="宋体" w:eastAsia="宋体" w:cs="宋体"/>
          <w:sz w:val="24"/>
          <w:szCs w:val="24"/>
          <w:vertAlign w:val="subscript"/>
          <w:lang w:bidi="ar"/>
        </w:rPr>
        <w:t>X</w:t>
      </w:r>
      <w:r>
        <w:rPr>
          <w:rFonts w:hint="eastAsia" w:ascii="宋体" w:hAnsi="宋体" w:eastAsia="宋体" w:cs="宋体"/>
          <w:sz w:val="24"/>
          <w:szCs w:val="24"/>
          <w:lang w:bidi="ar"/>
        </w:rPr>
        <w:t>年排放总量分别为0.0028t/a、0.013t/a，排放浓度为29.4mg/m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、136.3mg/m</w:t>
      </w:r>
      <w:r>
        <w:rPr>
          <w:rFonts w:hint="eastAsia" w:ascii="宋体" w:hAnsi="宋体" w:eastAsia="宋体" w:cs="宋体"/>
          <w:sz w:val="24"/>
          <w:szCs w:val="24"/>
          <w:vertAlign w:val="superscript"/>
          <w:lang w:bidi="ar"/>
        </w:rPr>
        <w:t>3</w:t>
      </w:r>
      <w:r>
        <w:rPr>
          <w:rFonts w:hint="eastAsia" w:ascii="宋体" w:hAnsi="宋体" w:eastAsia="宋体" w:cs="宋体"/>
          <w:sz w:val="24"/>
          <w:szCs w:val="24"/>
          <w:lang w:bidi="ar"/>
        </w:rPr>
        <w:t>，排放速率为0.0008</w:t>
      </w:r>
      <w:r>
        <w:rPr>
          <w:rFonts w:hint="eastAsia" w:ascii="宋体" w:hAnsi="宋体" w:eastAsia="宋体" w:cs="宋体"/>
          <w:spacing w:val="-12"/>
          <w:sz w:val="24"/>
          <w:szCs w:val="24"/>
          <w:lang w:bidi="ar"/>
        </w:rPr>
        <w:t>kg/h</w:t>
      </w:r>
      <w:r>
        <w:rPr>
          <w:rFonts w:hint="eastAsia" w:ascii="宋体" w:hAnsi="宋体" w:eastAsia="宋体" w:cs="宋体"/>
          <w:sz w:val="24"/>
          <w:szCs w:val="24"/>
          <w:lang w:bidi="ar"/>
        </w:rPr>
        <w:t>、0.0036</w:t>
      </w:r>
      <w:r>
        <w:rPr>
          <w:rFonts w:hint="eastAsia" w:ascii="宋体" w:hAnsi="宋体" w:eastAsia="宋体" w:cs="宋体"/>
          <w:spacing w:val="-12"/>
          <w:sz w:val="24"/>
          <w:szCs w:val="24"/>
          <w:lang w:bidi="ar"/>
        </w:rPr>
        <w:t>kg/h</w:t>
      </w:r>
      <w:r>
        <w:rPr>
          <w:rFonts w:hint="eastAsia" w:ascii="宋体" w:hAnsi="宋体" w:eastAsia="宋体" w:cs="宋体"/>
          <w:sz w:val="24"/>
          <w:szCs w:val="24"/>
          <w:lang w:bidi="ar"/>
        </w:rPr>
        <w:t>。满足《锅炉大气污染物排放标准》(GB13271-2014)表3特别排放限值要求。</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2）废水</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（1）营运期产生的废水主要为工作人员生活污水，</w:t>
      </w:r>
      <w:r>
        <w:rPr>
          <w:rFonts w:hint="eastAsia" w:ascii="宋体" w:hAnsi="宋体" w:eastAsia="宋体" w:cs="宋体"/>
          <w:sz w:val="24"/>
          <w:szCs w:val="24"/>
        </w:rPr>
        <w:t>项目外排废水为生活污水，生活污水产生系数为0.8，产生量224t/a。生活污水排入防渗旱厕，定期清掏，用作农家肥。</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sz w:val="24"/>
          <w:szCs w:val="24"/>
        </w:rPr>
        <w:t>（2）消防用水为事故用水，有火灾等事故发生时启动消防设备，根据《汽车天然气加注站设计与施工规范》（GB20156-2012）（2014年修订本）规定，加油和液化石油气合</w:t>
      </w:r>
      <w:r>
        <w:rPr>
          <w:rFonts w:hint="eastAsia" w:ascii="宋体" w:hAnsi="宋体" w:eastAsia="宋体" w:cs="宋体"/>
          <w:color w:val="000000"/>
          <w:sz w:val="24"/>
          <w:szCs w:val="24"/>
        </w:rPr>
        <w:t>建站的消防给水设计应符合下列规定：</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 消火栓消防用水量不应小于 15L/s；</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b、连续消防给水世家不应小于 1h。</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3）噪声</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本项目生产运营期噪声源主要为LNG 泵撬等设备运行噪声，以及进出车辆产生的噪声，噪声源强约为 70~80dB。</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（1）车辆交通噪声影响分析</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建设项目运营期噪声污染源主要为汽车出入站的噪声，小型及中型汽车低速行驶下噪声源强在 70dB（A）左右，只有在少数大型载重汽车出入站时瞬时噪声较大，约为 75dB（A）左右。本项目应合理规划站内人流、车流，避免高峰时期站内车辆拥堵，控制车辆特别是运气、油罐车出入油气合建站的速度，禁止车辆在站内紧急刹车或高速启动驶离加油岛、加气岛，车辆在加油、加气及等待期间禁止鸣笛，在站内出入口处设立减速慢行及禁止鸣笛标志。在采取以上措施后，该加气站附近噪声背景值不会有较大的变化。</w:t>
      </w:r>
    </w:p>
    <w:p>
      <w:pPr>
        <w:pStyle w:val="94"/>
        <w:keepNext w:val="0"/>
        <w:keepLines w:val="0"/>
        <w:pageBreakBefore w:val="0"/>
        <w:widowControl w:val="0"/>
        <w:wordWrap/>
        <w:overflowPunct/>
        <w:topLinePunct w:val="0"/>
        <w:autoSpaceDN/>
        <w:bidi w:val="0"/>
        <w:adjustRightInd/>
        <w:spacing w:line="500" w:lineRule="exact"/>
        <w:ind w:left="0" w:firstLine="480" w:firstLineChars="200"/>
        <w:jc w:val="both"/>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（2） 设备噪声影响分析</w:t>
      </w:r>
    </w:p>
    <w:p>
      <w:pPr>
        <w:pStyle w:val="99"/>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项目设备运转噪声点源来源于</w:t>
      </w:r>
      <w:r>
        <w:rPr>
          <w:rFonts w:hint="eastAsia" w:ascii="宋体" w:hAnsi="宋体" w:eastAsia="宋体" w:cs="宋体"/>
          <w:sz w:val="24"/>
          <w:szCs w:val="24"/>
        </w:rPr>
        <w:t>LNG 泵撬，位于站内东侧，噪声源强约为 80 dB（A）。拟采取的噪声防治措施，本项目厂界昼间噪声值能够满足《工业企业厂界环境噪声排放标准》（ GB12348-2008）2类标准值限值（昼间60dB(A)、夜间50dB(A)），各厂界昼夜间噪声值均可达标排放，对环境不会产生显著不利影响。</w:t>
      </w:r>
    </w:p>
    <w:p>
      <w:pPr>
        <w:pStyle w:val="99"/>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5）固体废物</w:t>
      </w:r>
    </w:p>
    <w:p>
      <w:pPr>
        <w:pStyle w:val="99"/>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项目营运期产生的固体废物主要是工作人员产生的生活垃圾。</w:t>
      </w:r>
    </w:p>
    <w:p>
      <w:pPr>
        <w:pStyle w:val="99"/>
        <w:keepNext w:val="0"/>
        <w:keepLines w:val="0"/>
        <w:pageBreakBefore w:val="0"/>
        <w:widowControl w:val="0"/>
        <w:wordWrap/>
        <w:overflowPunct/>
        <w:topLinePunct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职工产生的生活垃圾。加油站职工总计10名，按人均生活垃圾产生量0.5kg/d计，则营运期生活垃圾产生量为1.825t/a，站内设垃圾收集点，收集后交由环卫部门统一处理。</w:t>
      </w:r>
    </w:p>
    <w:p>
      <w:pPr>
        <w:keepNext w:val="0"/>
        <w:keepLines w:val="0"/>
        <w:pageBreakBefore w:val="0"/>
        <w:widowControl w:val="0"/>
        <w:wordWrap/>
        <w:overflowPunct/>
        <w:topLinePunct w:val="0"/>
        <w:autoSpaceDE w:val="0"/>
        <w:autoSpaceDN/>
        <w:bidi w:val="0"/>
        <w:spacing w:line="500" w:lineRule="exact"/>
        <w:ind w:left="0" w:firstLine="480"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4、总量控制指标</w:t>
      </w:r>
    </w:p>
    <w:p>
      <w:pPr>
        <w:keepNext w:val="0"/>
        <w:keepLines w:val="0"/>
        <w:pageBreakBefore w:val="0"/>
        <w:widowControl w:val="0"/>
        <w:wordWrap/>
        <w:overflowPunct/>
        <w:topLinePunct w:val="0"/>
        <w:autoSpaceDE w:val="0"/>
        <w:autoSpaceDN/>
        <w:bidi w:val="0"/>
        <w:spacing w:line="50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本项目的总量控制指标为COD：0 t/a、NH</w:t>
      </w:r>
      <w:r>
        <w:rPr>
          <w:rFonts w:hint="eastAsia" w:ascii="宋体" w:hAnsi="宋体" w:eastAsia="宋体" w:cs="宋体"/>
          <w:sz w:val="24"/>
          <w:szCs w:val="24"/>
          <w:vertAlign w:val="subscript"/>
        </w:rPr>
        <w:t>3</w:t>
      </w:r>
      <w:r>
        <w:rPr>
          <w:rFonts w:hint="eastAsia" w:ascii="宋体" w:hAnsi="宋体" w:eastAsia="宋体" w:cs="宋体"/>
          <w:sz w:val="24"/>
          <w:szCs w:val="24"/>
        </w:rPr>
        <w:t>-N：0t/a、SO</w:t>
      </w:r>
      <w:r>
        <w:rPr>
          <w:rFonts w:hint="eastAsia" w:ascii="宋体" w:hAnsi="宋体" w:eastAsia="宋体" w:cs="宋体"/>
          <w:sz w:val="24"/>
          <w:szCs w:val="24"/>
          <w:vertAlign w:val="subscript"/>
        </w:rPr>
        <w:t>2</w:t>
      </w:r>
      <w:r>
        <w:rPr>
          <w:rFonts w:hint="eastAsia" w:ascii="宋体" w:hAnsi="宋体" w:eastAsia="宋体" w:cs="宋体"/>
          <w:sz w:val="24"/>
          <w:szCs w:val="24"/>
        </w:rPr>
        <w:t>：0.0028t/a，NO</w:t>
      </w:r>
      <w:r>
        <w:rPr>
          <w:rFonts w:hint="eastAsia" w:ascii="宋体" w:hAnsi="宋体" w:eastAsia="宋体" w:cs="宋体"/>
          <w:sz w:val="24"/>
          <w:szCs w:val="24"/>
          <w:vertAlign w:val="subscript"/>
        </w:rPr>
        <w:t>x</w:t>
      </w:r>
      <w:r>
        <w:rPr>
          <w:rFonts w:hint="eastAsia" w:ascii="宋体" w:hAnsi="宋体" w:eastAsia="宋体" w:cs="宋体"/>
          <w:sz w:val="24"/>
          <w:szCs w:val="24"/>
        </w:rPr>
        <w:t>：0.014t/a。</w:t>
      </w:r>
    </w:p>
    <w:p>
      <w:pPr>
        <w:pStyle w:val="106"/>
        <w:keepNext w:val="0"/>
        <w:keepLines w:val="0"/>
        <w:pageBreakBefore w:val="0"/>
        <w:widowControl w:val="0"/>
        <w:wordWrap/>
        <w:overflowPunct/>
        <w:topLinePunct w:val="0"/>
        <w:autoSpaceDE w:val="0"/>
        <w:autoSpaceDN/>
        <w:bidi w:val="0"/>
        <w:spacing w:line="500" w:lineRule="exact"/>
        <w:ind w:left="0" w:firstLine="480"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5、项目可行性结论</w:t>
      </w:r>
    </w:p>
    <w:p>
      <w:pPr>
        <w:pStyle w:val="106"/>
        <w:keepNext w:val="0"/>
        <w:keepLines w:val="0"/>
        <w:pageBreakBefore w:val="0"/>
        <w:widowControl w:val="0"/>
        <w:wordWrap/>
        <w:overflowPunct/>
        <w:topLinePunct w:val="0"/>
        <w:autoSpaceDE w:val="0"/>
        <w:autoSpaceDN/>
        <w:bidi w:val="0"/>
        <w:spacing w:line="500" w:lineRule="exact"/>
        <w:ind w:left="0" w:firstLine="480" w:firstLineChars="200"/>
        <w:textAlignment w:val="auto"/>
        <w:rPr>
          <w:rFonts w:hint="eastAsia" w:ascii="宋体" w:hAnsi="宋体" w:eastAsia="宋体" w:cs="宋体"/>
          <w:b/>
          <w:bCs/>
          <w:sz w:val="24"/>
          <w:szCs w:val="24"/>
        </w:rPr>
      </w:pPr>
      <w:r>
        <w:rPr>
          <w:rFonts w:hint="eastAsia" w:ascii="宋体" w:hAnsi="宋体" w:eastAsia="宋体" w:cs="宋体"/>
          <w:color w:val="000000"/>
          <w:sz w:val="24"/>
          <w:szCs w:val="24"/>
        </w:rPr>
        <w:t>综上所述，项目在严格执行环境管理制度，确实做好废水、废气污染物和噪声防治措施，确保各项污染物达标排放的情况下，本项目运营产生的污染物对周围环境的影响可控制在较小的程度和范围内，从环境保护角度考虑，本项目建设是可行的。</w:t>
      </w:r>
    </w:p>
    <w:p>
      <w:pPr>
        <w:pStyle w:val="4"/>
        <w:spacing w:line="480" w:lineRule="exact"/>
        <w:rPr>
          <w:rFonts w:hint="eastAsia" w:cs="宋体"/>
        </w:rPr>
      </w:pPr>
      <w:bookmarkStart w:id="97" w:name="_Toc14977"/>
      <w:r>
        <w:rPr>
          <w:rFonts w:hint="eastAsia" w:cs="宋体"/>
        </w:rPr>
        <w:t>5.2 审批部门审批决定</w:t>
      </w:r>
      <w:bookmarkEnd w:id="97"/>
    </w:p>
    <w:p>
      <w:pPr>
        <w:spacing w:line="480" w:lineRule="exact"/>
        <w:ind w:firstLine="480" w:firstLineChars="200"/>
        <w:rPr>
          <w:rFonts w:hint="eastAsia" w:ascii="宋体" w:hAnsi="宋体" w:eastAsia="宋体" w:cs="宋体"/>
          <w:sz w:val="24"/>
          <w:szCs w:val="24"/>
        </w:rPr>
      </w:pPr>
      <w:bookmarkStart w:id="98" w:name="_Toc509396098"/>
      <w:r>
        <w:rPr>
          <w:rFonts w:hint="eastAsia" w:ascii="宋体" w:hAnsi="宋体" w:eastAsia="宋体" w:cs="宋体"/>
          <w:sz w:val="24"/>
          <w:szCs w:val="24"/>
        </w:rPr>
        <w:t>环评报告于201</w:t>
      </w:r>
      <w:r>
        <w:rPr>
          <w:rFonts w:hint="eastAsia" w:ascii="宋体" w:hAnsi="宋体" w:eastAsia="宋体" w:cs="宋体"/>
          <w:sz w:val="24"/>
          <w:szCs w:val="24"/>
          <w:lang w:val="en-US" w:eastAsia="zh-CN"/>
        </w:rPr>
        <w:t>8</w:t>
      </w:r>
      <w:r>
        <w:rPr>
          <w:rFonts w:hint="eastAsia" w:ascii="宋体" w:hAnsi="宋体" w:eastAsia="宋体" w:cs="宋体"/>
          <w:sz w:val="24"/>
          <w:szCs w:val="24"/>
        </w:rPr>
        <w:t>年</w:t>
      </w:r>
      <w:r>
        <w:rPr>
          <w:rFonts w:hint="eastAsia" w:ascii="宋体" w:hAnsi="宋体" w:eastAsia="宋体" w:cs="宋体"/>
          <w:sz w:val="24"/>
          <w:szCs w:val="24"/>
          <w:lang w:val="en-US" w:eastAsia="zh-CN"/>
        </w:rPr>
        <w:t>5</w:t>
      </w:r>
      <w:r>
        <w:rPr>
          <w:rFonts w:hint="eastAsia" w:ascii="宋体" w:hAnsi="宋体" w:eastAsia="宋体" w:cs="宋体"/>
          <w:sz w:val="24"/>
          <w:szCs w:val="24"/>
        </w:rPr>
        <w:t>月</w:t>
      </w:r>
      <w:r>
        <w:rPr>
          <w:rFonts w:hint="eastAsia" w:ascii="宋体" w:hAnsi="宋体" w:eastAsia="宋体" w:cs="宋体"/>
          <w:sz w:val="24"/>
          <w:szCs w:val="24"/>
          <w:lang w:val="en-US" w:eastAsia="zh-CN"/>
        </w:rPr>
        <w:t>8</w:t>
      </w:r>
      <w:r>
        <w:rPr>
          <w:rFonts w:hint="eastAsia" w:ascii="宋体" w:hAnsi="宋体" w:eastAsia="宋体" w:cs="宋体"/>
          <w:sz w:val="24"/>
          <w:szCs w:val="24"/>
        </w:rPr>
        <w:t>日通过张家口市</w:t>
      </w:r>
      <w:r>
        <w:rPr>
          <w:rFonts w:hint="eastAsia" w:ascii="宋体" w:hAnsi="宋体" w:eastAsia="宋体" w:cs="宋体"/>
          <w:sz w:val="24"/>
          <w:szCs w:val="24"/>
          <w:lang w:val="en-US" w:eastAsia="zh-CN"/>
        </w:rPr>
        <w:t>行政审批局</w:t>
      </w:r>
      <w:r>
        <w:rPr>
          <w:rFonts w:hint="eastAsia" w:ascii="宋体" w:hAnsi="宋体" w:eastAsia="宋体" w:cs="宋体"/>
          <w:sz w:val="24"/>
          <w:szCs w:val="24"/>
        </w:rPr>
        <w:t>审批，并出具审批意见。其批复如下：</w:t>
      </w:r>
      <w:bookmarkEnd w:id="98"/>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阳原县鑫发天然气加注站所提交《阳原县鑫发天然气加注站项目环境影响报告表》已收悉，根据张家口市正德地质勘测技术服务有限公司环境影响报告表结论与意见及阳原县行政审批局出具的预审意见，现批复意见如下：</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阳原县鑫发天然气加注站拟建设的阳原县鑫发天然气加注站位于张家口市东井集镇拣花堡村109国道以北。项目主要建设内容为:新建站房、罩棚、3个60立方米LNG低温储气罐、设置6台LNG加注机、3台增压器、1台0.5吨燃气锅炉及相关辅助设施。总投资1229.05万元，其中环保总投资5.5万元。</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全面落实环境影响报告表提出的各项环境保护设施及措施，确保各类污染物达标稳定排放的前提下，该项目对环境不利影响能够得到一定的缓解和控制，我局原则性同意你公司按照环境影响报告表中所列建设项目的地点、性质、规模、采取的环境保护措施进行项目建设。本报告表及批复可作为该项目建设和环境管理以及验收的依据。在项目的建设中还应重点做好以下工作：</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二、项目建设及运营期应严格落实以下要求：</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加强施工期环境管理，制定严格的规章制度，确保各项环保措施落实到位。合理布置施工场地和安排施工时间；选用低噪工程设备；采取定期洒水、及时清理场地、土石料堆加盖篷布等措施减轻扬尘污染。确保施工期各项污染物稳定达标排放。</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2、优化生产场区布局，合理布置噪声源。选用低噪生产设备，振动大的设备须加装减振机座及隔音设施，加强设备日常检修。确保厂界满足《工业企业厂界环境噪声排放标准》(GB12348-2008)中2类标准要求。</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3、项目冬季供暖由自建燃气锅炉提供，燃气锅炉烟气排放须满足《锅炉大气污染物排放标准》(GB13271-2014)中表3特别排放限值。</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4、项目生活污水排入防渗化粪池，定期清掏。</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5、生活垃圾集中收集定点存放，由环卫部门统一收集处理。</w:t>
      </w:r>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三、项目建设必须严格执行“三同时”管理制度。如项目性质、规模、或者防止生态破坏、防止污染的措施发生重大变动，应当在调整前重新批本项目环境影响评价文件。</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四、你公司接到本项目环评文件批复后20个工作日内，应将批准后的环境影响报告表及批复送至相关环境保护行政主管部门，并按规定接受各级环境保护行政主管部门的监督检查。</w:t>
      </w:r>
    </w:p>
    <w:p>
      <w:pPr>
        <w:pStyle w:val="2"/>
        <w:rPr>
          <w:rFonts w:hint="eastAsia" w:ascii="宋体" w:hAnsi="宋体" w:eastAsia="宋体" w:cs="宋体"/>
          <w:sz w:val="24"/>
          <w:szCs w:val="24"/>
        </w:rPr>
      </w:pPr>
    </w:p>
    <w:p>
      <w:pPr>
        <w:pStyle w:val="3"/>
        <w:spacing w:line="500" w:lineRule="exact"/>
        <w:rPr>
          <w:rFonts w:hint="eastAsia" w:cs="宋体"/>
        </w:rPr>
      </w:pPr>
      <w:bookmarkStart w:id="99" w:name="_Toc30829"/>
      <w:r>
        <w:rPr>
          <w:rFonts w:hint="eastAsia" w:cs="宋体"/>
        </w:rPr>
        <w:t>6 验收执行标准</w:t>
      </w:r>
      <w:bookmarkEnd w:id="99"/>
    </w:p>
    <w:p>
      <w:pPr>
        <w:pStyle w:val="4"/>
        <w:spacing w:line="500" w:lineRule="exact"/>
        <w:rPr>
          <w:rFonts w:hint="eastAsia" w:cs="宋体"/>
        </w:rPr>
      </w:pPr>
      <w:bookmarkStart w:id="100" w:name="_Toc17413"/>
      <w:bookmarkStart w:id="101" w:name="_Toc516059088"/>
      <w:r>
        <w:rPr>
          <w:rFonts w:hint="eastAsia" w:cs="宋体"/>
        </w:rPr>
        <w:t>6.1 废气执行标准</w:t>
      </w:r>
      <w:bookmarkEnd w:id="100"/>
      <w:bookmarkEnd w:id="101"/>
    </w:p>
    <w:p>
      <w:pPr>
        <w:spacing w:line="50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废气执行</w:t>
      </w:r>
      <w:bookmarkStart w:id="102" w:name="_Toc516059089"/>
      <w:r>
        <w:rPr>
          <w:rFonts w:hint="eastAsia" w:ascii="宋体" w:hAnsi="宋体" w:eastAsia="宋体" w:cs="宋体"/>
          <w:color w:val="000000"/>
          <w:sz w:val="24"/>
          <w:szCs w:val="24"/>
        </w:rPr>
        <w:t>标准见表6-</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p>
    <w:p>
      <w:pPr>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表6-</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 xml:space="preserve"> 废气执行标准</w:t>
      </w:r>
    </w:p>
    <w:tbl>
      <w:tblPr>
        <w:tblStyle w:val="30"/>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922"/>
        <w:gridCol w:w="814"/>
        <w:gridCol w:w="1104"/>
        <w:gridCol w:w="833"/>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8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193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浓度限值</w:t>
            </w:r>
          </w:p>
        </w:tc>
        <w:tc>
          <w:tcPr>
            <w:tcW w:w="3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标准名称</w:t>
            </w:r>
          </w:p>
          <w:p>
            <w:pPr>
              <w:jc w:val="center"/>
              <w:rPr>
                <w:rFonts w:hint="eastAsia" w:ascii="宋体" w:hAnsi="宋体" w:eastAsia="宋体" w:cs="宋体"/>
                <w:sz w:val="21"/>
                <w:szCs w:val="21"/>
              </w:rPr>
            </w:pPr>
            <w:r>
              <w:rPr>
                <w:rFonts w:hint="eastAsia" w:ascii="宋体" w:hAnsi="宋体" w:eastAsia="宋体" w:cs="宋体"/>
                <w:sz w:val="21"/>
                <w:szCs w:val="21"/>
              </w:rPr>
              <w:t>及级（类）别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29" w:type="dxa"/>
            <w:vMerge w:val="restart"/>
            <w:tcBorders>
              <w:left w:val="single" w:color="auto" w:sz="4" w:space="0"/>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锅炉烟气</w:t>
            </w:r>
          </w:p>
        </w:tc>
        <w:tc>
          <w:tcPr>
            <w:tcW w:w="9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颗粒物</w:t>
            </w:r>
          </w:p>
        </w:tc>
        <w:tc>
          <w:tcPr>
            <w:tcW w:w="814" w:type="dxa"/>
            <w:vMerge w:val="restart"/>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p>
        </w:tc>
        <w:tc>
          <w:tcPr>
            <w:tcW w:w="1104" w:type="dxa"/>
            <w:vMerge w:val="restart"/>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烟囱或</w:t>
            </w:r>
          </w:p>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烟道</w:t>
            </w:r>
          </w:p>
        </w:tc>
        <w:tc>
          <w:tcPr>
            <w:tcW w:w="833" w:type="dxa"/>
            <w:tcBorders>
              <w:left w:val="single" w:color="auto" w:sz="4" w:space="0"/>
              <w:right w:val="single" w:color="auto" w:sz="4" w:space="0"/>
            </w:tcBorders>
            <w:noWrap w:val="0"/>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430"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Cs w:val="24"/>
              </w:rPr>
              <w:t>《锅炉大气污染物排放标准》(GB13271-2014)表3特别排放限值要求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29" w:type="dxa"/>
            <w:vMerge w:val="continue"/>
            <w:tcBorders>
              <w:left w:val="single" w:color="auto" w:sz="4" w:space="0"/>
              <w:right w:val="single" w:color="auto" w:sz="4" w:space="0"/>
            </w:tcBorders>
            <w:noWrap w:val="0"/>
            <w:vAlign w:val="center"/>
          </w:tcPr>
          <w:p>
            <w:pPr>
              <w:jc w:val="center"/>
              <w:rPr>
                <w:rFonts w:hint="eastAsia" w:ascii="宋体" w:hAnsi="宋体" w:eastAsia="宋体" w:cs="宋体"/>
                <w:sz w:val="21"/>
                <w:szCs w:val="21"/>
              </w:rPr>
            </w:pPr>
          </w:p>
        </w:tc>
        <w:tc>
          <w:tcPr>
            <w:tcW w:w="9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SO</w:t>
            </w:r>
            <w:r>
              <w:rPr>
                <w:rFonts w:hint="eastAsia" w:ascii="宋体" w:hAnsi="宋体" w:eastAsia="宋体" w:cs="宋体"/>
                <w:sz w:val="21"/>
                <w:szCs w:val="21"/>
                <w:vertAlign w:val="subscript"/>
                <w:lang w:val="en-US" w:eastAsia="zh-CN"/>
              </w:rPr>
              <w:t>2</w:t>
            </w:r>
          </w:p>
        </w:tc>
        <w:tc>
          <w:tcPr>
            <w:tcW w:w="814"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c>
          <w:tcPr>
            <w:tcW w:w="1104"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c>
          <w:tcPr>
            <w:tcW w:w="833" w:type="dxa"/>
            <w:tcBorders>
              <w:left w:val="single" w:color="auto" w:sz="4" w:space="0"/>
              <w:right w:val="single" w:color="auto" w:sz="4" w:space="0"/>
            </w:tcBorders>
            <w:noWrap w:val="0"/>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3430"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29" w:type="dxa"/>
            <w:vMerge w:val="continue"/>
            <w:tcBorders>
              <w:left w:val="single" w:color="auto" w:sz="4" w:space="0"/>
              <w:right w:val="single" w:color="auto" w:sz="4" w:space="0"/>
            </w:tcBorders>
            <w:noWrap w:val="0"/>
            <w:vAlign w:val="center"/>
          </w:tcPr>
          <w:p>
            <w:pPr>
              <w:jc w:val="center"/>
              <w:rPr>
                <w:rFonts w:hint="eastAsia" w:ascii="宋体" w:hAnsi="宋体" w:eastAsia="宋体" w:cs="宋体"/>
                <w:sz w:val="21"/>
                <w:szCs w:val="21"/>
              </w:rPr>
            </w:pPr>
          </w:p>
        </w:tc>
        <w:tc>
          <w:tcPr>
            <w:tcW w:w="92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NO</w:t>
            </w:r>
            <w:r>
              <w:rPr>
                <w:rFonts w:hint="eastAsia" w:ascii="宋体" w:hAnsi="宋体" w:eastAsia="宋体" w:cs="宋体"/>
                <w:sz w:val="21"/>
                <w:szCs w:val="21"/>
                <w:vertAlign w:val="subscript"/>
                <w:lang w:val="en-US" w:eastAsia="zh-CN"/>
              </w:rPr>
              <w:t>X</w:t>
            </w:r>
          </w:p>
        </w:tc>
        <w:tc>
          <w:tcPr>
            <w:tcW w:w="814"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c>
          <w:tcPr>
            <w:tcW w:w="1104"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c>
          <w:tcPr>
            <w:tcW w:w="833" w:type="dxa"/>
            <w:tcBorders>
              <w:left w:val="single" w:color="auto" w:sz="4" w:space="0"/>
              <w:right w:val="single" w:color="auto" w:sz="4" w:space="0"/>
            </w:tcBorders>
            <w:noWrap w:val="0"/>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w:t>
            </w:r>
          </w:p>
        </w:tc>
        <w:tc>
          <w:tcPr>
            <w:tcW w:w="3430"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29" w:type="dxa"/>
            <w:tcBorders>
              <w:left w:val="single" w:color="auto" w:sz="4" w:space="0"/>
              <w:righ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w w:val="100"/>
                <w:sz w:val="21"/>
                <w:szCs w:val="21"/>
                <w:lang w:val="en-US" w:eastAsia="zh-CN"/>
              </w:rPr>
              <w:t>汽车尾气</w:t>
            </w:r>
          </w:p>
        </w:tc>
        <w:tc>
          <w:tcPr>
            <w:tcW w:w="922" w:type="dxa"/>
            <w:tcBorders>
              <w:top w:val="single" w:color="auto" w:sz="4" w:space="0"/>
              <w:left w:val="single" w:color="auto" w:sz="4" w:space="0"/>
              <w:right w:val="single" w:color="auto" w:sz="4" w:space="0"/>
            </w:tcBorders>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非甲烷总烃</w:t>
            </w:r>
          </w:p>
        </w:tc>
        <w:tc>
          <w:tcPr>
            <w:tcW w:w="814" w:type="dxa"/>
            <w:vMerge w:val="continue"/>
            <w:tcBorders>
              <w:left w:val="single" w:color="auto" w:sz="4" w:space="0"/>
              <w:right w:val="single" w:color="auto" w:sz="4" w:space="0"/>
            </w:tcBorders>
            <w:noWrap w:val="0"/>
            <w:vAlign w:val="center"/>
          </w:tcPr>
          <w:p>
            <w:pPr>
              <w:snapToGrid w:val="0"/>
              <w:jc w:val="center"/>
              <w:rPr>
                <w:rFonts w:hint="eastAsia" w:ascii="宋体" w:hAnsi="宋体" w:eastAsia="宋体" w:cs="宋体"/>
                <w:sz w:val="21"/>
                <w:szCs w:val="21"/>
              </w:rPr>
            </w:pPr>
          </w:p>
        </w:tc>
        <w:tc>
          <w:tcPr>
            <w:tcW w:w="1104" w:type="dxa"/>
            <w:tcBorders>
              <w:left w:val="single" w:color="auto" w:sz="4" w:space="0"/>
              <w:right w:val="single" w:color="auto" w:sz="4" w:space="0"/>
            </w:tcBorders>
            <w:noWrap w:val="0"/>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rPr>
              <w:t>周界外浓度最高点</w:t>
            </w:r>
          </w:p>
        </w:tc>
        <w:tc>
          <w:tcPr>
            <w:tcW w:w="833" w:type="dxa"/>
            <w:tcBorders>
              <w:left w:val="single" w:color="auto" w:sz="4" w:space="0"/>
              <w:right w:val="single" w:color="auto" w:sz="4" w:space="0"/>
            </w:tcBorders>
            <w:noWrap w:val="0"/>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4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w w:val="100"/>
                <w:sz w:val="21"/>
                <w:szCs w:val="21"/>
                <w:lang w:val="en-US" w:eastAsia="zh-CN"/>
              </w:rPr>
              <w:t>《工业企业挥发性有机物排放控制标准》（GB13/2322-2016）表2企业边界大气污染物浓度限值 其他企业限值</w:t>
            </w:r>
          </w:p>
        </w:tc>
      </w:tr>
    </w:tbl>
    <w:p>
      <w:pPr>
        <w:pStyle w:val="4"/>
        <w:spacing w:line="500" w:lineRule="exact"/>
        <w:rPr>
          <w:rFonts w:hint="eastAsia" w:cs="宋体"/>
        </w:rPr>
      </w:pPr>
      <w:bookmarkStart w:id="103" w:name="_Toc25369"/>
      <w:r>
        <w:rPr>
          <w:rFonts w:hint="eastAsia" w:cs="宋体"/>
        </w:rPr>
        <w:t>6.</w:t>
      </w:r>
      <w:r>
        <w:rPr>
          <w:rFonts w:hint="eastAsia" w:cs="宋体"/>
          <w:lang w:val="en-US" w:eastAsia="zh-CN"/>
        </w:rPr>
        <w:t>2</w:t>
      </w:r>
      <w:r>
        <w:rPr>
          <w:rFonts w:hint="eastAsia" w:cs="宋体"/>
        </w:rPr>
        <w:t xml:space="preserve"> 噪声执行标准</w:t>
      </w:r>
      <w:bookmarkEnd w:id="102"/>
      <w:bookmarkEnd w:id="103"/>
    </w:p>
    <w:p>
      <w:pPr>
        <w:spacing w:line="500" w:lineRule="exact"/>
        <w:ind w:firstLine="480" w:firstLineChars="200"/>
        <w:rPr>
          <w:rFonts w:hint="eastAsia" w:ascii="宋体" w:hAnsi="宋体" w:eastAsia="宋体" w:cs="宋体"/>
        </w:rPr>
      </w:pPr>
      <w:r>
        <w:rPr>
          <w:rFonts w:hint="eastAsia" w:ascii="宋体" w:hAnsi="宋体" w:eastAsia="宋体" w:cs="宋体"/>
          <w:sz w:val="24"/>
          <w:szCs w:val="24"/>
        </w:rPr>
        <w:t>噪声执行《工业企业厂界环境噪声排放标准》（GB12348-2008）中</w:t>
      </w:r>
      <w:r>
        <w:rPr>
          <w:rFonts w:hint="eastAsia" w:ascii="宋体" w:hAnsi="宋体" w:eastAsia="宋体" w:cs="宋体"/>
          <w:sz w:val="24"/>
          <w:szCs w:val="24"/>
          <w:lang w:val="en-US" w:eastAsia="zh-CN"/>
        </w:rPr>
        <w:t>2</w:t>
      </w:r>
      <w:r>
        <w:rPr>
          <w:rFonts w:hint="eastAsia" w:ascii="宋体" w:hAnsi="宋体" w:eastAsia="宋体" w:cs="宋体"/>
          <w:sz w:val="24"/>
          <w:szCs w:val="24"/>
        </w:rPr>
        <w:t>类标准，昼间：6</w:t>
      </w:r>
      <w:r>
        <w:rPr>
          <w:rFonts w:hint="eastAsia" w:ascii="宋体" w:hAnsi="宋体" w:eastAsia="宋体" w:cs="宋体"/>
          <w:sz w:val="24"/>
          <w:szCs w:val="24"/>
          <w:lang w:val="en-US" w:eastAsia="zh-CN"/>
        </w:rPr>
        <w:t>0</w:t>
      </w:r>
      <w:r>
        <w:rPr>
          <w:rFonts w:hint="eastAsia" w:ascii="宋体" w:hAnsi="宋体" w:eastAsia="宋体" w:cs="宋体"/>
          <w:sz w:val="24"/>
          <w:szCs w:val="24"/>
        </w:rPr>
        <w:t>dB（A），夜间：5</w:t>
      </w:r>
      <w:r>
        <w:rPr>
          <w:rFonts w:hint="eastAsia" w:ascii="宋体" w:hAnsi="宋体" w:eastAsia="宋体" w:cs="宋体"/>
          <w:sz w:val="24"/>
          <w:szCs w:val="24"/>
          <w:lang w:val="en-US" w:eastAsia="zh-CN"/>
        </w:rPr>
        <w:t>0</w:t>
      </w:r>
      <w:r>
        <w:rPr>
          <w:rFonts w:hint="eastAsia" w:ascii="宋体" w:hAnsi="宋体" w:eastAsia="宋体" w:cs="宋体"/>
          <w:sz w:val="24"/>
          <w:szCs w:val="24"/>
        </w:rPr>
        <w:t>dB（A）。</w:t>
      </w:r>
    </w:p>
    <w:p>
      <w:pPr>
        <w:pStyle w:val="4"/>
        <w:spacing w:line="500" w:lineRule="exact"/>
        <w:rPr>
          <w:rFonts w:hint="eastAsia" w:cs="宋体"/>
        </w:rPr>
      </w:pPr>
      <w:bookmarkStart w:id="104" w:name="_Toc2679"/>
      <w:r>
        <w:rPr>
          <w:rFonts w:hint="eastAsia" w:cs="宋体"/>
        </w:rPr>
        <w:t>6.</w:t>
      </w:r>
      <w:r>
        <w:rPr>
          <w:rFonts w:hint="eastAsia" w:cs="宋体"/>
          <w:lang w:val="en-US" w:eastAsia="zh-CN"/>
        </w:rPr>
        <w:t>3</w:t>
      </w:r>
      <w:r>
        <w:rPr>
          <w:rFonts w:hint="eastAsia" w:cs="宋体"/>
        </w:rPr>
        <w:t xml:space="preserve"> 固废执行标准</w:t>
      </w:r>
      <w:bookmarkEnd w:id="104"/>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本项目一般固废执行《一般工业固体废物贮存、处置场污染控制标准》（GB18599-2001）及2013年修改单中相关规定。</w:t>
      </w:r>
    </w:p>
    <w:p>
      <w:pPr>
        <w:spacing w:line="500" w:lineRule="exact"/>
        <w:ind w:firstLine="480" w:firstLineChars="200"/>
        <w:rPr>
          <w:rFonts w:hint="eastAsia" w:ascii="宋体" w:hAnsi="宋体" w:eastAsia="宋体" w:cs="宋体"/>
          <w:sz w:val="24"/>
          <w:szCs w:val="24"/>
        </w:rPr>
      </w:pPr>
    </w:p>
    <w:p>
      <w:pPr>
        <w:spacing w:line="500" w:lineRule="exact"/>
        <w:ind w:firstLine="420" w:firstLineChars="200"/>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rPr>
          <w:rFonts w:hint="eastAsia"/>
        </w:rPr>
      </w:pPr>
    </w:p>
    <w:p>
      <w:pPr>
        <w:pStyle w:val="2"/>
        <w:rPr>
          <w:rFonts w:hint="eastAsia" w:ascii="宋体" w:hAnsi="宋体" w:eastAsia="宋体" w:cs="宋体"/>
        </w:rPr>
      </w:pPr>
    </w:p>
    <w:p>
      <w:pPr>
        <w:pStyle w:val="3"/>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宋体"/>
        </w:rPr>
      </w:pPr>
      <w:bookmarkStart w:id="105" w:name="_Toc10239"/>
      <w:r>
        <w:rPr>
          <w:rFonts w:hint="eastAsia" w:cs="宋体"/>
        </w:rPr>
        <w:t>7 验收监测内容</w:t>
      </w:r>
      <w:bookmarkEnd w:id="105"/>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根据《河北省燃气管理办法》（河北省人民政府令[2012]第6号），“燃气设施建设工程竣工后，建设单位应当依法进行竣工验收，未经验收或者经验收不合格的，不得投入使用”。由于项目尚未投入使用，因此未进行验收监测。</w:t>
      </w: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7"/>
        <w:ind w:firstLine="480"/>
        <w:rPr>
          <w:rFonts w:hint="eastAsia" w:ascii="宋体" w:hAnsi="宋体" w:cs="宋体"/>
          <w:sz w:val="24"/>
        </w:rPr>
      </w:pPr>
    </w:p>
    <w:p>
      <w:pPr>
        <w:pStyle w:val="3"/>
        <w:spacing w:line="480" w:lineRule="exact"/>
        <w:rPr>
          <w:rFonts w:hint="eastAsia" w:cs="宋体"/>
        </w:rPr>
      </w:pPr>
      <w:bookmarkStart w:id="106" w:name="_Toc28717"/>
      <w:r>
        <w:rPr>
          <w:rFonts w:hint="eastAsia" w:cs="宋体"/>
          <w:lang w:val="en-US" w:eastAsia="zh-CN"/>
        </w:rPr>
        <w:t>8</w:t>
      </w:r>
      <w:r>
        <w:rPr>
          <w:rFonts w:hint="eastAsia" w:cs="宋体"/>
        </w:rPr>
        <w:t xml:space="preserve"> 验收监测结论</w:t>
      </w:r>
      <w:bookmarkEnd w:id="106"/>
    </w:p>
    <w:p>
      <w:pPr>
        <w:pStyle w:val="4"/>
        <w:spacing w:line="480" w:lineRule="exact"/>
        <w:ind w:firstLine="280" w:firstLineChars="100"/>
        <w:rPr>
          <w:rFonts w:hint="eastAsia" w:cs="宋体"/>
        </w:rPr>
      </w:pPr>
      <w:bookmarkStart w:id="107" w:name="_Toc25152"/>
      <w:r>
        <w:rPr>
          <w:rFonts w:hint="eastAsia" w:cs="宋体"/>
          <w:lang w:val="en-US" w:eastAsia="zh-CN"/>
        </w:rPr>
        <w:t>8</w:t>
      </w:r>
      <w:r>
        <w:rPr>
          <w:rFonts w:hint="eastAsia" w:cs="宋体"/>
        </w:rPr>
        <w:t>.1验收主要结论</w:t>
      </w:r>
      <w:bookmarkEnd w:id="107"/>
    </w:p>
    <w:p>
      <w:pPr>
        <w:spacing w:line="480" w:lineRule="exact"/>
        <w:ind w:firstLine="480" w:firstLineChars="200"/>
        <w:rPr>
          <w:rFonts w:hint="eastAsia" w:ascii="宋体" w:hAnsi="宋体" w:eastAsia="宋体" w:cs="宋体"/>
          <w:bCs/>
          <w:sz w:val="24"/>
          <w:szCs w:val="24"/>
        </w:rPr>
      </w:pPr>
      <w:bookmarkStart w:id="108" w:name="_Toc497001504"/>
      <w:r>
        <w:rPr>
          <w:rFonts w:hint="eastAsia" w:ascii="宋体" w:hAnsi="宋体" w:eastAsia="宋体" w:cs="宋体"/>
          <w:bCs/>
          <w:sz w:val="24"/>
          <w:szCs w:val="24"/>
        </w:rPr>
        <w:t>监测期间，该企业生产正常，设施运行稳定，生产负荷达到75%以上，满足验收监测技术规范要求。</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1、</w:t>
      </w:r>
      <w:r>
        <w:rPr>
          <w:rFonts w:hint="eastAsia" w:ascii="宋体" w:hAnsi="宋体" w:eastAsia="宋体" w:cs="宋体"/>
          <w:sz w:val="24"/>
          <w:szCs w:val="24"/>
        </w:rPr>
        <w:t>废水</w:t>
      </w:r>
    </w:p>
    <w:p>
      <w:pPr>
        <w:spacing w:line="440" w:lineRule="exact"/>
        <w:ind w:firstLine="480" w:firstLineChars="200"/>
        <w:rPr>
          <w:rFonts w:hint="default" w:ascii="宋体" w:hAnsi="宋体" w:eastAsia="宋体" w:cs="宋体"/>
          <w:lang w:val="en-US"/>
        </w:rPr>
      </w:pPr>
      <w:r>
        <w:rPr>
          <w:rFonts w:hint="eastAsia" w:ascii="宋体" w:hAnsi="宋体" w:eastAsia="宋体" w:cs="宋体"/>
          <w:sz w:val="24"/>
          <w:szCs w:val="24"/>
        </w:rPr>
        <w:t>本项目废水主要为生活污水。</w:t>
      </w:r>
      <w:r>
        <w:rPr>
          <w:rFonts w:hint="eastAsia" w:ascii="宋体" w:hAnsi="宋体" w:eastAsia="宋体" w:cs="宋体"/>
          <w:sz w:val="24"/>
          <w:szCs w:val="24"/>
          <w:lang w:val="en-US" w:eastAsia="zh-CN"/>
        </w:rPr>
        <w:t>生活污水排入防渗旱厕，定期清掏，用作农家肥。</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2、废气</w:t>
      </w:r>
    </w:p>
    <w:p>
      <w:pPr>
        <w:widowControl/>
        <w:spacing w:line="500" w:lineRule="exact"/>
        <w:ind w:firstLine="480" w:firstLineChars="200"/>
        <w:rPr>
          <w:rFonts w:hint="eastAsia" w:ascii="宋体" w:hAnsi="宋体" w:eastAsia="宋体" w:cs="宋体"/>
          <w:sz w:val="24"/>
          <w:szCs w:val="24"/>
          <w:lang w:val="en-US" w:eastAsia="zh-CN"/>
        </w:rPr>
      </w:pPr>
      <w:bookmarkStart w:id="109" w:name="_Toc516141770"/>
      <w:bookmarkStart w:id="110" w:name="_Toc516059109"/>
      <w:r>
        <w:rPr>
          <w:rFonts w:hint="eastAsia" w:ascii="宋体" w:hAnsi="宋体" w:eastAsia="宋体" w:cs="宋体"/>
          <w:sz w:val="24"/>
          <w:szCs w:val="24"/>
        </w:rPr>
        <w:t>本项目废气主要为</w:t>
      </w:r>
      <w:r>
        <w:rPr>
          <w:rFonts w:hint="eastAsia" w:ascii="宋体" w:hAnsi="宋体" w:eastAsia="宋体" w:cs="宋体"/>
          <w:sz w:val="24"/>
          <w:szCs w:val="24"/>
          <w:lang w:val="en-US" w:eastAsia="zh-CN"/>
        </w:rPr>
        <w:t>天然气锅炉废气及进出站内的加气车辆产生的汽车尾气</w:t>
      </w:r>
      <w:r>
        <w:rPr>
          <w:rFonts w:hint="eastAsia" w:ascii="宋体" w:hAnsi="宋体" w:eastAsia="宋体" w:cs="宋体"/>
          <w:sz w:val="24"/>
          <w:szCs w:val="24"/>
        </w:rPr>
        <w:t>。</w:t>
      </w:r>
    </w:p>
    <w:bookmarkEnd w:id="109"/>
    <w:bookmarkEnd w:id="110"/>
    <w:p>
      <w:pPr>
        <w:spacing w:line="480" w:lineRule="exact"/>
        <w:ind w:firstLine="480" w:firstLineChars="200"/>
        <w:rPr>
          <w:rFonts w:hint="default" w:ascii="宋体" w:hAnsi="宋体" w:eastAsia="宋体" w:cs="宋体"/>
          <w:sz w:val="24"/>
          <w:szCs w:val="24"/>
          <w:lang w:val="en-US" w:eastAsia="zh-CN"/>
        </w:rPr>
      </w:pPr>
      <w:bookmarkStart w:id="111" w:name="_Toc516059110"/>
      <w:bookmarkStart w:id="112" w:name="_Toc516141771"/>
      <w:r>
        <w:rPr>
          <w:rFonts w:hint="eastAsia" w:ascii="宋体" w:hAnsi="宋体" w:eastAsia="宋体" w:cs="宋体"/>
          <w:sz w:val="24"/>
          <w:szCs w:val="24"/>
          <w:lang w:val="en-US" w:eastAsia="zh-CN"/>
        </w:rPr>
        <w:t>锅炉废气经1根8m高排气筒排放。汽车尾气无组织排放到空气中。</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3、噪声</w:t>
      </w:r>
      <w:bookmarkEnd w:id="111"/>
      <w:bookmarkEnd w:id="112"/>
    </w:p>
    <w:p>
      <w:pPr>
        <w:widowControl/>
        <w:spacing w:line="480" w:lineRule="exact"/>
        <w:ind w:firstLine="480" w:firstLineChars="200"/>
        <w:rPr>
          <w:rFonts w:hint="default" w:ascii="宋体" w:hAnsi="宋体" w:eastAsia="宋体" w:cs="宋体"/>
          <w:kern w:val="0"/>
          <w:sz w:val="24"/>
          <w:szCs w:val="24"/>
          <w:lang w:val="en-US" w:eastAsia="zh-CN"/>
        </w:rPr>
      </w:pPr>
      <w:bookmarkStart w:id="113" w:name="_Toc516141772"/>
      <w:bookmarkStart w:id="114" w:name="_Toc516059111"/>
      <w:r>
        <w:rPr>
          <w:rFonts w:hint="eastAsia" w:ascii="宋体" w:hAnsi="宋体" w:eastAsia="宋体" w:cs="宋体"/>
          <w:sz w:val="24"/>
          <w:szCs w:val="24"/>
        </w:rPr>
        <w:t>本项目运营期噪声源主要为</w:t>
      </w:r>
      <w:r>
        <w:rPr>
          <w:rFonts w:hint="eastAsia" w:ascii="宋体" w:hAnsi="宋体" w:eastAsia="宋体" w:cs="宋体"/>
          <w:sz w:val="24"/>
          <w:szCs w:val="24"/>
          <w:lang w:val="en-US" w:eastAsia="zh-CN"/>
        </w:rPr>
        <w:t>LNG泵撬等</w:t>
      </w:r>
      <w:r>
        <w:rPr>
          <w:rFonts w:hint="eastAsia" w:ascii="宋体" w:hAnsi="宋体" w:eastAsia="宋体" w:cs="宋体"/>
          <w:sz w:val="24"/>
          <w:szCs w:val="24"/>
        </w:rPr>
        <w:t>设备产生的噪声。</w:t>
      </w:r>
      <w:r>
        <w:rPr>
          <w:rFonts w:hint="eastAsia" w:ascii="宋体" w:hAnsi="宋体" w:eastAsia="宋体" w:cs="宋体"/>
          <w:sz w:val="24"/>
          <w:szCs w:val="24"/>
          <w:lang w:val="en-US" w:eastAsia="zh-CN"/>
        </w:rPr>
        <w:t>项目选用低噪声设备，距离衰减，LNG泵撬置于隔声罩内。</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4、固体废物</w:t>
      </w:r>
      <w:bookmarkEnd w:id="113"/>
      <w:bookmarkEnd w:id="114"/>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本固体废物固体废物</w:t>
      </w:r>
      <w:r>
        <w:rPr>
          <w:rFonts w:hint="eastAsia" w:ascii="宋体" w:hAnsi="宋体" w:eastAsia="宋体" w:cs="宋体"/>
          <w:sz w:val="24"/>
          <w:szCs w:val="24"/>
          <w:lang w:val="en-US" w:eastAsia="zh-CN"/>
        </w:rPr>
        <w:t>主要为职工生活垃圾，厂内设置生活垃圾桶，生活垃圾集中收集，交由环卫部门清运处置。</w:t>
      </w:r>
      <w:r>
        <w:rPr>
          <w:rFonts w:hint="eastAsia" w:ascii="宋体" w:hAnsi="宋体" w:eastAsia="宋体" w:cs="宋体"/>
          <w:sz w:val="24"/>
          <w:szCs w:val="24"/>
        </w:rPr>
        <w:t>固体废物均能妥善处置，不会产生二次污染，对环境的影响较小，治理措施可行。</w:t>
      </w:r>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5、结论</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由于本项目尚未投入使用，本次验收仅对设备进行验收，待项目运营以后再对污染物进行监测并验收。</w:t>
      </w:r>
      <w:r>
        <w:rPr>
          <w:rFonts w:hint="eastAsia" w:ascii="宋体" w:hAnsi="宋体" w:eastAsia="宋体" w:cs="宋体"/>
          <w:sz w:val="24"/>
          <w:szCs w:val="24"/>
        </w:rPr>
        <w:t>综上分析，项目已按环评及批复要求进行了环境保护设施建设，</w:t>
      </w:r>
      <w:r>
        <w:rPr>
          <w:rFonts w:hint="eastAsia" w:ascii="宋体" w:hAnsi="宋体" w:eastAsia="宋体" w:cs="宋体"/>
          <w:sz w:val="24"/>
          <w:szCs w:val="24"/>
          <w:lang w:val="en-US" w:eastAsia="zh-CN"/>
        </w:rPr>
        <w:t>环保设施通过验收。</w:t>
      </w:r>
    </w:p>
    <w:p>
      <w:pPr>
        <w:pStyle w:val="4"/>
        <w:spacing w:line="480" w:lineRule="exact"/>
        <w:rPr>
          <w:rFonts w:hint="eastAsia" w:cs="宋体"/>
        </w:rPr>
      </w:pPr>
      <w:bookmarkStart w:id="115" w:name="_Toc25955"/>
      <w:r>
        <w:rPr>
          <w:rFonts w:hint="eastAsia" w:cs="宋体"/>
          <w:lang w:val="en-US" w:eastAsia="zh-CN"/>
        </w:rPr>
        <w:t>8</w:t>
      </w:r>
      <w:r>
        <w:rPr>
          <w:rFonts w:hint="eastAsia" w:cs="宋体"/>
        </w:rPr>
        <w:t>.2 建议</w:t>
      </w:r>
      <w:bookmarkEnd w:id="108"/>
      <w:bookmarkEnd w:id="115"/>
    </w:p>
    <w:p>
      <w:r>
        <w:rPr>
          <w:rFonts w:hint="eastAsia" w:ascii="宋体" w:hAnsi="宋体" w:eastAsia="宋体" w:cs="宋体"/>
          <w:color w:val="000000"/>
          <w:kern w:val="2"/>
          <w:sz w:val="24"/>
          <w:szCs w:val="24"/>
          <w:highlight w:val="none"/>
          <w:lang w:val="en-US" w:eastAsia="zh-CN" w:bidi="ar-SA"/>
        </w:rPr>
        <w:t>根据相关环保政策要求，及时提升污染控制水平。</w:t>
      </w:r>
      <w:r>
        <w:drawing>
          <wp:inline distT="0" distB="0" distL="114300" distR="114300">
            <wp:extent cx="5267960" cy="7449185"/>
            <wp:effectExtent l="0" t="0" r="889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67960" cy="7449185"/>
                    </a:xfrm>
                    <a:prstGeom prst="rect">
                      <a:avLst/>
                    </a:prstGeom>
                    <a:noFill/>
                    <a:ln>
                      <a:noFill/>
                    </a:ln>
                  </pic:spPr>
                </pic:pic>
              </a:graphicData>
            </a:graphic>
          </wp:inline>
        </w:drawing>
      </w:r>
    </w:p>
    <w:p>
      <w:r>
        <w:drawing>
          <wp:inline distT="0" distB="0" distL="114300" distR="114300">
            <wp:extent cx="5267960" cy="7449185"/>
            <wp:effectExtent l="0" t="0" r="889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67960" cy="7449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500" w:lineRule="exact"/>
        <w:ind w:left="0" w:right="0" w:firstLine="420" w:firstLineChars="200"/>
        <w:jc w:val="both"/>
        <w:textAlignment w:val="auto"/>
        <w:rPr>
          <w:rFonts w:hint="eastAsia" w:ascii="宋体" w:hAnsi="宋体" w:eastAsia="宋体" w:cs="宋体"/>
          <w:color w:val="000000"/>
          <w:kern w:val="2"/>
          <w:sz w:val="24"/>
          <w:szCs w:val="24"/>
          <w:highlight w:val="none"/>
          <w:lang w:val="en-US" w:eastAsia="zh-CN" w:bidi="ar-SA"/>
        </w:rPr>
      </w:pPr>
      <w:r>
        <w:drawing>
          <wp:inline distT="0" distB="0" distL="114300" distR="114300">
            <wp:extent cx="5267960" cy="7449185"/>
            <wp:effectExtent l="0" t="0" r="889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67960" cy="7449185"/>
                    </a:xfrm>
                    <a:prstGeom prst="rect">
                      <a:avLst/>
                    </a:prstGeom>
                    <a:noFill/>
                    <a:ln>
                      <a:noFill/>
                    </a:ln>
                  </pic:spPr>
                </pic:pic>
              </a:graphicData>
            </a:graphic>
          </wp:inline>
        </w:drawing>
      </w:r>
      <w:bookmarkStart w:id="116" w:name="_GoBack"/>
      <w:bookmarkEnd w:id="116"/>
    </w:p>
    <w:sectPr>
      <w:pgSz w:w="11906" w:h="16838"/>
      <w:pgMar w:top="1440" w:right="1800" w:bottom="1440" w:left="180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eastAsia="zh-CN"/>
      </w:rPr>
      <w:t>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AB728E"/>
    <w:multiLevelType w:val="singleLevel"/>
    <w:tmpl w:val="9AAB728E"/>
    <w:lvl w:ilvl="0" w:tentative="0">
      <w:start w:val="1"/>
      <w:numFmt w:val="decimal"/>
      <w:suff w:val="nothing"/>
      <w:lvlText w:val="%1、"/>
      <w:lvlJc w:val="left"/>
    </w:lvl>
  </w:abstractNum>
  <w:abstractNum w:abstractNumId="1">
    <w:nsid w:val="0D92C02A"/>
    <w:multiLevelType w:val="singleLevel"/>
    <w:tmpl w:val="0D92C02A"/>
    <w:lvl w:ilvl="0" w:tentative="0">
      <w:start w:val="1"/>
      <w:numFmt w:val="decimal"/>
      <w:lvlText w:val="(%1)"/>
      <w:lvlJc w:val="left"/>
      <w:pPr>
        <w:ind w:left="425" w:hanging="425"/>
      </w:pPr>
      <w:rPr>
        <w:rFonts w:hint="default"/>
      </w:rPr>
    </w:lvl>
  </w:abstractNum>
  <w:abstractNum w:abstractNumId="2">
    <w:nsid w:val="27BA428E"/>
    <w:multiLevelType w:val="multilevel"/>
    <w:tmpl w:val="27BA428E"/>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B26C37D"/>
    <w:multiLevelType w:val="singleLevel"/>
    <w:tmpl w:val="2B26C37D"/>
    <w:lvl w:ilvl="0" w:tentative="0">
      <w:start w:val="1"/>
      <w:numFmt w:val="decimal"/>
      <w:lvlText w:val="(%1)"/>
      <w:lvlJc w:val="left"/>
      <w:pPr>
        <w:ind w:left="425" w:hanging="425"/>
      </w:pPr>
      <w:rPr>
        <w:rFonts w:hint="default"/>
      </w:rPr>
    </w:lvl>
  </w:abstractNum>
  <w:abstractNum w:abstractNumId="4">
    <w:nsid w:val="51627F66"/>
    <w:multiLevelType w:val="singleLevel"/>
    <w:tmpl w:val="51627F66"/>
    <w:lvl w:ilvl="0" w:tentative="0">
      <w:start w:val="1"/>
      <w:numFmt w:val="decimal"/>
      <w:lvlText w:val="(%1)"/>
      <w:lvlJc w:val="left"/>
      <w:pPr>
        <w:ind w:left="425" w:hanging="425"/>
      </w:pPr>
      <w:rPr>
        <w:rFonts w:hint="default"/>
      </w:rPr>
    </w:lvl>
  </w:abstractNum>
  <w:abstractNum w:abstractNumId="5">
    <w:nsid w:val="6F407F76"/>
    <w:multiLevelType w:val="singleLevel"/>
    <w:tmpl w:val="6F407F76"/>
    <w:lvl w:ilvl="0" w:tentative="0">
      <w:start w:val="1"/>
      <w:numFmt w:val="decimal"/>
      <w:lvlText w:val="(%1)"/>
      <w:lvlJc w:val="left"/>
      <w:pPr>
        <w:ind w:left="425" w:hanging="425"/>
      </w:pPr>
      <w:rPr>
        <w:rFonts w:hint="default"/>
      </w:rPr>
    </w:lvl>
  </w:abstractNum>
  <w:num w:numId="1">
    <w:abstractNumId w:val="1"/>
  </w:num>
  <w:num w:numId="2">
    <w:abstractNumId w:val="4"/>
  </w:num>
  <w:num w:numId="3">
    <w:abstractNumId w:val="3"/>
  </w:num>
  <w:num w:numId="4">
    <w:abstractNumId w:val="5"/>
  </w:num>
  <w:num w:numId="5">
    <w:abstractNumId w:val="0"/>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78"/>
    <w:rsid w:val="000025B9"/>
    <w:rsid w:val="00005F65"/>
    <w:rsid w:val="000073B5"/>
    <w:rsid w:val="0000778B"/>
    <w:rsid w:val="00007CBA"/>
    <w:rsid w:val="00010F41"/>
    <w:rsid w:val="00012D0B"/>
    <w:rsid w:val="000148AA"/>
    <w:rsid w:val="00015663"/>
    <w:rsid w:val="000158FB"/>
    <w:rsid w:val="00015ACA"/>
    <w:rsid w:val="00015EFD"/>
    <w:rsid w:val="000177F5"/>
    <w:rsid w:val="0002043A"/>
    <w:rsid w:val="00021D28"/>
    <w:rsid w:val="000232DD"/>
    <w:rsid w:val="000255E4"/>
    <w:rsid w:val="00030ECD"/>
    <w:rsid w:val="000312F2"/>
    <w:rsid w:val="00031ADD"/>
    <w:rsid w:val="000347BA"/>
    <w:rsid w:val="000374D7"/>
    <w:rsid w:val="0004541A"/>
    <w:rsid w:val="000462A7"/>
    <w:rsid w:val="00047A84"/>
    <w:rsid w:val="0005250C"/>
    <w:rsid w:val="0005482C"/>
    <w:rsid w:val="000561D6"/>
    <w:rsid w:val="00056E7B"/>
    <w:rsid w:val="000579EA"/>
    <w:rsid w:val="000625A7"/>
    <w:rsid w:val="00063BA9"/>
    <w:rsid w:val="000641C8"/>
    <w:rsid w:val="000737A4"/>
    <w:rsid w:val="000747E8"/>
    <w:rsid w:val="00076D01"/>
    <w:rsid w:val="00082207"/>
    <w:rsid w:val="00083789"/>
    <w:rsid w:val="00083C0A"/>
    <w:rsid w:val="00083DF5"/>
    <w:rsid w:val="00084FAD"/>
    <w:rsid w:val="0008542C"/>
    <w:rsid w:val="00086340"/>
    <w:rsid w:val="0008776D"/>
    <w:rsid w:val="000923FF"/>
    <w:rsid w:val="000933D2"/>
    <w:rsid w:val="00095E0F"/>
    <w:rsid w:val="000975AE"/>
    <w:rsid w:val="00097CD8"/>
    <w:rsid w:val="000A1A7D"/>
    <w:rsid w:val="000A384F"/>
    <w:rsid w:val="000A3ACC"/>
    <w:rsid w:val="000A412E"/>
    <w:rsid w:val="000A49FC"/>
    <w:rsid w:val="000A586C"/>
    <w:rsid w:val="000A7A75"/>
    <w:rsid w:val="000B37AF"/>
    <w:rsid w:val="000B41F1"/>
    <w:rsid w:val="000B5DFB"/>
    <w:rsid w:val="000C39D5"/>
    <w:rsid w:val="000D02BD"/>
    <w:rsid w:val="000D5759"/>
    <w:rsid w:val="000D7387"/>
    <w:rsid w:val="000E02B3"/>
    <w:rsid w:val="000E4225"/>
    <w:rsid w:val="000E45E8"/>
    <w:rsid w:val="000E5328"/>
    <w:rsid w:val="000E6491"/>
    <w:rsid w:val="000F0A97"/>
    <w:rsid w:val="000F14A8"/>
    <w:rsid w:val="000F500A"/>
    <w:rsid w:val="000F758C"/>
    <w:rsid w:val="001029C6"/>
    <w:rsid w:val="001067D8"/>
    <w:rsid w:val="001068D5"/>
    <w:rsid w:val="00112FCB"/>
    <w:rsid w:val="001130AF"/>
    <w:rsid w:val="00113B2B"/>
    <w:rsid w:val="00116FAD"/>
    <w:rsid w:val="001229B2"/>
    <w:rsid w:val="00125F9D"/>
    <w:rsid w:val="0013008A"/>
    <w:rsid w:val="0013039A"/>
    <w:rsid w:val="00131454"/>
    <w:rsid w:val="00131BC3"/>
    <w:rsid w:val="0013248E"/>
    <w:rsid w:val="001354F6"/>
    <w:rsid w:val="00135D6B"/>
    <w:rsid w:val="00141464"/>
    <w:rsid w:val="00142D6F"/>
    <w:rsid w:val="001503A8"/>
    <w:rsid w:val="001506F1"/>
    <w:rsid w:val="001523B3"/>
    <w:rsid w:val="001540D7"/>
    <w:rsid w:val="00154446"/>
    <w:rsid w:val="00154B32"/>
    <w:rsid w:val="001570BE"/>
    <w:rsid w:val="00163BD0"/>
    <w:rsid w:val="00163F40"/>
    <w:rsid w:val="00166B19"/>
    <w:rsid w:val="00166BF0"/>
    <w:rsid w:val="00170323"/>
    <w:rsid w:val="00172D2A"/>
    <w:rsid w:val="00172EF3"/>
    <w:rsid w:val="00173AC9"/>
    <w:rsid w:val="001747EF"/>
    <w:rsid w:val="00176D62"/>
    <w:rsid w:val="00181F18"/>
    <w:rsid w:val="001838B4"/>
    <w:rsid w:val="00183976"/>
    <w:rsid w:val="00183D15"/>
    <w:rsid w:val="00192F41"/>
    <w:rsid w:val="0019771E"/>
    <w:rsid w:val="001A0F34"/>
    <w:rsid w:val="001A1F5A"/>
    <w:rsid w:val="001A6701"/>
    <w:rsid w:val="001B0F7C"/>
    <w:rsid w:val="001B1D22"/>
    <w:rsid w:val="001B23FF"/>
    <w:rsid w:val="001C138F"/>
    <w:rsid w:val="001C37D8"/>
    <w:rsid w:val="001C69B6"/>
    <w:rsid w:val="001C72AA"/>
    <w:rsid w:val="001D25E3"/>
    <w:rsid w:val="001D2E6B"/>
    <w:rsid w:val="001D483C"/>
    <w:rsid w:val="001D5A11"/>
    <w:rsid w:val="001D68F2"/>
    <w:rsid w:val="001E3992"/>
    <w:rsid w:val="001E506C"/>
    <w:rsid w:val="001F00DE"/>
    <w:rsid w:val="001F23EC"/>
    <w:rsid w:val="001F6F33"/>
    <w:rsid w:val="001F7E23"/>
    <w:rsid w:val="002015E5"/>
    <w:rsid w:val="00204ACB"/>
    <w:rsid w:val="002052FE"/>
    <w:rsid w:val="00205DEA"/>
    <w:rsid w:val="00206CE1"/>
    <w:rsid w:val="00207100"/>
    <w:rsid w:val="002143BF"/>
    <w:rsid w:val="00214AF7"/>
    <w:rsid w:val="00216D0D"/>
    <w:rsid w:val="00223496"/>
    <w:rsid w:val="002240E7"/>
    <w:rsid w:val="002267A1"/>
    <w:rsid w:val="002268B3"/>
    <w:rsid w:val="0022696A"/>
    <w:rsid w:val="0023096D"/>
    <w:rsid w:val="00232C1C"/>
    <w:rsid w:val="00233E01"/>
    <w:rsid w:val="00237415"/>
    <w:rsid w:val="002410D0"/>
    <w:rsid w:val="00242727"/>
    <w:rsid w:val="002451A0"/>
    <w:rsid w:val="002458DD"/>
    <w:rsid w:val="00251070"/>
    <w:rsid w:val="00252BF1"/>
    <w:rsid w:val="00256586"/>
    <w:rsid w:val="002574ED"/>
    <w:rsid w:val="0025751F"/>
    <w:rsid w:val="00260065"/>
    <w:rsid w:val="0026051A"/>
    <w:rsid w:val="002651F1"/>
    <w:rsid w:val="00265779"/>
    <w:rsid w:val="0026580F"/>
    <w:rsid w:val="002732EA"/>
    <w:rsid w:val="00276FC6"/>
    <w:rsid w:val="00283EA5"/>
    <w:rsid w:val="00286B5F"/>
    <w:rsid w:val="0028797F"/>
    <w:rsid w:val="00287D92"/>
    <w:rsid w:val="00290705"/>
    <w:rsid w:val="00293216"/>
    <w:rsid w:val="00297F4D"/>
    <w:rsid w:val="002A330F"/>
    <w:rsid w:val="002A5245"/>
    <w:rsid w:val="002A6545"/>
    <w:rsid w:val="002A6757"/>
    <w:rsid w:val="002A735C"/>
    <w:rsid w:val="002A76A8"/>
    <w:rsid w:val="002B02D0"/>
    <w:rsid w:val="002B0E17"/>
    <w:rsid w:val="002B11F0"/>
    <w:rsid w:val="002B1DEF"/>
    <w:rsid w:val="002B2AD7"/>
    <w:rsid w:val="002B4D6F"/>
    <w:rsid w:val="002B5D3C"/>
    <w:rsid w:val="002B63C4"/>
    <w:rsid w:val="002B723F"/>
    <w:rsid w:val="002C15C5"/>
    <w:rsid w:val="002C26EF"/>
    <w:rsid w:val="002C678A"/>
    <w:rsid w:val="002D2DFD"/>
    <w:rsid w:val="002D3303"/>
    <w:rsid w:val="002D3E26"/>
    <w:rsid w:val="002D4E34"/>
    <w:rsid w:val="002E5B78"/>
    <w:rsid w:val="002F4153"/>
    <w:rsid w:val="002F43CE"/>
    <w:rsid w:val="002F69FB"/>
    <w:rsid w:val="003000DF"/>
    <w:rsid w:val="00300F61"/>
    <w:rsid w:val="00300F7E"/>
    <w:rsid w:val="003048E6"/>
    <w:rsid w:val="003074A0"/>
    <w:rsid w:val="00307C62"/>
    <w:rsid w:val="00311F0A"/>
    <w:rsid w:val="00311FA1"/>
    <w:rsid w:val="0031255F"/>
    <w:rsid w:val="00312B61"/>
    <w:rsid w:val="003151AD"/>
    <w:rsid w:val="0031678D"/>
    <w:rsid w:val="00316D9C"/>
    <w:rsid w:val="00316DAE"/>
    <w:rsid w:val="003222C4"/>
    <w:rsid w:val="00322403"/>
    <w:rsid w:val="00323764"/>
    <w:rsid w:val="00324C8C"/>
    <w:rsid w:val="00325F34"/>
    <w:rsid w:val="003312A4"/>
    <w:rsid w:val="00333971"/>
    <w:rsid w:val="00333A79"/>
    <w:rsid w:val="00333E84"/>
    <w:rsid w:val="00335B67"/>
    <w:rsid w:val="00336C7F"/>
    <w:rsid w:val="00337D61"/>
    <w:rsid w:val="00341475"/>
    <w:rsid w:val="003430BD"/>
    <w:rsid w:val="00352641"/>
    <w:rsid w:val="003532FC"/>
    <w:rsid w:val="0035409A"/>
    <w:rsid w:val="00354153"/>
    <w:rsid w:val="0035613E"/>
    <w:rsid w:val="00356B34"/>
    <w:rsid w:val="00357AC1"/>
    <w:rsid w:val="00360724"/>
    <w:rsid w:val="00363528"/>
    <w:rsid w:val="00363707"/>
    <w:rsid w:val="00363BCE"/>
    <w:rsid w:val="00363E92"/>
    <w:rsid w:val="00370E10"/>
    <w:rsid w:val="0037284D"/>
    <w:rsid w:val="00372EE2"/>
    <w:rsid w:val="00373A5E"/>
    <w:rsid w:val="0037435A"/>
    <w:rsid w:val="00375427"/>
    <w:rsid w:val="00376EAA"/>
    <w:rsid w:val="0037783A"/>
    <w:rsid w:val="00377A8E"/>
    <w:rsid w:val="00381569"/>
    <w:rsid w:val="00381A6C"/>
    <w:rsid w:val="00385B0B"/>
    <w:rsid w:val="00386413"/>
    <w:rsid w:val="00391935"/>
    <w:rsid w:val="00395D71"/>
    <w:rsid w:val="003A1975"/>
    <w:rsid w:val="003A719E"/>
    <w:rsid w:val="003A7D5E"/>
    <w:rsid w:val="003B01D6"/>
    <w:rsid w:val="003B0D53"/>
    <w:rsid w:val="003B47CA"/>
    <w:rsid w:val="003B4A79"/>
    <w:rsid w:val="003B7C85"/>
    <w:rsid w:val="003C26F1"/>
    <w:rsid w:val="003C2F42"/>
    <w:rsid w:val="003C45B1"/>
    <w:rsid w:val="003C698C"/>
    <w:rsid w:val="003D0AB3"/>
    <w:rsid w:val="003D10BF"/>
    <w:rsid w:val="003D48D0"/>
    <w:rsid w:val="003D51C9"/>
    <w:rsid w:val="003E2A16"/>
    <w:rsid w:val="003E4F89"/>
    <w:rsid w:val="003E58EE"/>
    <w:rsid w:val="003E6C8F"/>
    <w:rsid w:val="003E71DB"/>
    <w:rsid w:val="003F17A7"/>
    <w:rsid w:val="003F26D3"/>
    <w:rsid w:val="003F3249"/>
    <w:rsid w:val="004002F5"/>
    <w:rsid w:val="00403FDD"/>
    <w:rsid w:val="00404275"/>
    <w:rsid w:val="0040457E"/>
    <w:rsid w:val="00407E6B"/>
    <w:rsid w:val="00413B46"/>
    <w:rsid w:val="0042105B"/>
    <w:rsid w:val="00422D48"/>
    <w:rsid w:val="004267B4"/>
    <w:rsid w:val="0043215C"/>
    <w:rsid w:val="00434CFC"/>
    <w:rsid w:val="004364D1"/>
    <w:rsid w:val="00437D3F"/>
    <w:rsid w:val="00441139"/>
    <w:rsid w:val="00441B45"/>
    <w:rsid w:val="00442033"/>
    <w:rsid w:val="00444338"/>
    <w:rsid w:val="004448CD"/>
    <w:rsid w:val="00444D69"/>
    <w:rsid w:val="00447ABC"/>
    <w:rsid w:val="00455205"/>
    <w:rsid w:val="00456C5B"/>
    <w:rsid w:val="00460B1C"/>
    <w:rsid w:val="00460B6D"/>
    <w:rsid w:val="0046647D"/>
    <w:rsid w:val="0047320F"/>
    <w:rsid w:val="00477552"/>
    <w:rsid w:val="004777AF"/>
    <w:rsid w:val="00486568"/>
    <w:rsid w:val="004867D3"/>
    <w:rsid w:val="00487E3F"/>
    <w:rsid w:val="00490BA1"/>
    <w:rsid w:val="0049247D"/>
    <w:rsid w:val="00493E7F"/>
    <w:rsid w:val="004A15D0"/>
    <w:rsid w:val="004A1EC7"/>
    <w:rsid w:val="004A269D"/>
    <w:rsid w:val="004A3526"/>
    <w:rsid w:val="004A5165"/>
    <w:rsid w:val="004A58BE"/>
    <w:rsid w:val="004A644D"/>
    <w:rsid w:val="004A6E20"/>
    <w:rsid w:val="004A7E3F"/>
    <w:rsid w:val="004B2644"/>
    <w:rsid w:val="004B4946"/>
    <w:rsid w:val="004B758D"/>
    <w:rsid w:val="004B7F2A"/>
    <w:rsid w:val="004C0F09"/>
    <w:rsid w:val="004C5500"/>
    <w:rsid w:val="004C651C"/>
    <w:rsid w:val="004C65E9"/>
    <w:rsid w:val="004C67BD"/>
    <w:rsid w:val="004C6B43"/>
    <w:rsid w:val="004C6F7D"/>
    <w:rsid w:val="004D162A"/>
    <w:rsid w:val="004D2842"/>
    <w:rsid w:val="004D66A0"/>
    <w:rsid w:val="004E3BFA"/>
    <w:rsid w:val="004E6B64"/>
    <w:rsid w:val="004F32CD"/>
    <w:rsid w:val="004F4153"/>
    <w:rsid w:val="004F53AC"/>
    <w:rsid w:val="004F53EF"/>
    <w:rsid w:val="004F6182"/>
    <w:rsid w:val="00500FBA"/>
    <w:rsid w:val="0050351F"/>
    <w:rsid w:val="005036D1"/>
    <w:rsid w:val="00503ACF"/>
    <w:rsid w:val="00506F89"/>
    <w:rsid w:val="00510EBF"/>
    <w:rsid w:val="00512EE9"/>
    <w:rsid w:val="00514AFD"/>
    <w:rsid w:val="00522440"/>
    <w:rsid w:val="005247FF"/>
    <w:rsid w:val="005273AA"/>
    <w:rsid w:val="00534AB2"/>
    <w:rsid w:val="0053687F"/>
    <w:rsid w:val="005374B5"/>
    <w:rsid w:val="00542DA3"/>
    <w:rsid w:val="00542FF4"/>
    <w:rsid w:val="00552C9A"/>
    <w:rsid w:val="005537DA"/>
    <w:rsid w:val="005547FF"/>
    <w:rsid w:val="0055688F"/>
    <w:rsid w:val="00557485"/>
    <w:rsid w:val="0056172D"/>
    <w:rsid w:val="00571B8D"/>
    <w:rsid w:val="005749C9"/>
    <w:rsid w:val="0057667F"/>
    <w:rsid w:val="005776A9"/>
    <w:rsid w:val="005800FE"/>
    <w:rsid w:val="00583001"/>
    <w:rsid w:val="005833F1"/>
    <w:rsid w:val="0058433A"/>
    <w:rsid w:val="00592DA8"/>
    <w:rsid w:val="00596D2C"/>
    <w:rsid w:val="005972A4"/>
    <w:rsid w:val="005A135F"/>
    <w:rsid w:val="005A247F"/>
    <w:rsid w:val="005A32E5"/>
    <w:rsid w:val="005A3501"/>
    <w:rsid w:val="005A5BFE"/>
    <w:rsid w:val="005A636C"/>
    <w:rsid w:val="005B0A13"/>
    <w:rsid w:val="005B7BBE"/>
    <w:rsid w:val="005C53AD"/>
    <w:rsid w:val="005C62B0"/>
    <w:rsid w:val="005C6426"/>
    <w:rsid w:val="005E2AA6"/>
    <w:rsid w:val="005E5CF5"/>
    <w:rsid w:val="005E7A1C"/>
    <w:rsid w:val="005F050F"/>
    <w:rsid w:val="005F1608"/>
    <w:rsid w:val="005F63BD"/>
    <w:rsid w:val="005F6C4B"/>
    <w:rsid w:val="005F77DE"/>
    <w:rsid w:val="005F7BA6"/>
    <w:rsid w:val="0060316A"/>
    <w:rsid w:val="00604C96"/>
    <w:rsid w:val="00604E72"/>
    <w:rsid w:val="00606798"/>
    <w:rsid w:val="0060769E"/>
    <w:rsid w:val="00611A20"/>
    <w:rsid w:val="00612D59"/>
    <w:rsid w:val="006137D5"/>
    <w:rsid w:val="00613C35"/>
    <w:rsid w:val="00614735"/>
    <w:rsid w:val="00617761"/>
    <w:rsid w:val="00620CCD"/>
    <w:rsid w:val="00622D24"/>
    <w:rsid w:val="00622EFE"/>
    <w:rsid w:val="00626046"/>
    <w:rsid w:val="00633AFE"/>
    <w:rsid w:val="0063711A"/>
    <w:rsid w:val="006402AF"/>
    <w:rsid w:val="00642562"/>
    <w:rsid w:val="00642EB1"/>
    <w:rsid w:val="006451B9"/>
    <w:rsid w:val="006476FC"/>
    <w:rsid w:val="00651507"/>
    <w:rsid w:val="00653BF7"/>
    <w:rsid w:val="006548D5"/>
    <w:rsid w:val="0066254A"/>
    <w:rsid w:val="0066434C"/>
    <w:rsid w:val="00665B26"/>
    <w:rsid w:val="00666EF3"/>
    <w:rsid w:val="006704D7"/>
    <w:rsid w:val="006719F1"/>
    <w:rsid w:val="006725A0"/>
    <w:rsid w:val="00685CA5"/>
    <w:rsid w:val="006864EF"/>
    <w:rsid w:val="006928A5"/>
    <w:rsid w:val="00692ED6"/>
    <w:rsid w:val="00692FDF"/>
    <w:rsid w:val="006943A4"/>
    <w:rsid w:val="00695341"/>
    <w:rsid w:val="006953A6"/>
    <w:rsid w:val="00697654"/>
    <w:rsid w:val="00697F5D"/>
    <w:rsid w:val="006A094E"/>
    <w:rsid w:val="006A2027"/>
    <w:rsid w:val="006A3287"/>
    <w:rsid w:val="006A45DD"/>
    <w:rsid w:val="006A5C98"/>
    <w:rsid w:val="006A602E"/>
    <w:rsid w:val="006B0D28"/>
    <w:rsid w:val="006C0C4B"/>
    <w:rsid w:val="006C1F57"/>
    <w:rsid w:val="006C4453"/>
    <w:rsid w:val="006C518B"/>
    <w:rsid w:val="006C6226"/>
    <w:rsid w:val="006D01BD"/>
    <w:rsid w:val="006D21B8"/>
    <w:rsid w:val="006D2EF9"/>
    <w:rsid w:val="006D7E90"/>
    <w:rsid w:val="006E05DF"/>
    <w:rsid w:val="006E0A47"/>
    <w:rsid w:val="006E2529"/>
    <w:rsid w:val="006E44C6"/>
    <w:rsid w:val="006E584F"/>
    <w:rsid w:val="006F04C7"/>
    <w:rsid w:val="006F6370"/>
    <w:rsid w:val="006F6AD9"/>
    <w:rsid w:val="00704799"/>
    <w:rsid w:val="00711038"/>
    <w:rsid w:val="007119CF"/>
    <w:rsid w:val="00712510"/>
    <w:rsid w:val="00712B85"/>
    <w:rsid w:val="007136D8"/>
    <w:rsid w:val="00715390"/>
    <w:rsid w:val="00720B0E"/>
    <w:rsid w:val="00721E01"/>
    <w:rsid w:val="007228D7"/>
    <w:rsid w:val="00725767"/>
    <w:rsid w:val="00725A61"/>
    <w:rsid w:val="00727223"/>
    <w:rsid w:val="00730E65"/>
    <w:rsid w:val="00735EB4"/>
    <w:rsid w:val="007409A5"/>
    <w:rsid w:val="00740AE3"/>
    <w:rsid w:val="00740E38"/>
    <w:rsid w:val="00741233"/>
    <w:rsid w:val="007418BB"/>
    <w:rsid w:val="00742093"/>
    <w:rsid w:val="0074393A"/>
    <w:rsid w:val="007456FC"/>
    <w:rsid w:val="00750B7E"/>
    <w:rsid w:val="007525B9"/>
    <w:rsid w:val="00752F5F"/>
    <w:rsid w:val="00754165"/>
    <w:rsid w:val="00754A69"/>
    <w:rsid w:val="007575E8"/>
    <w:rsid w:val="0076059D"/>
    <w:rsid w:val="00761D0D"/>
    <w:rsid w:val="00767FE9"/>
    <w:rsid w:val="007727FF"/>
    <w:rsid w:val="00774EEE"/>
    <w:rsid w:val="0077633B"/>
    <w:rsid w:val="0077665F"/>
    <w:rsid w:val="00785C54"/>
    <w:rsid w:val="0078765C"/>
    <w:rsid w:val="00791591"/>
    <w:rsid w:val="007919ED"/>
    <w:rsid w:val="00792361"/>
    <w:rsid w:val="00792D96"/>
    <w:rsid w:val="0079654A"/>
    <w:rsid w:val="007A481D"/>
    <w:rsid w:val="007A54AA"/>
    <w:rsid w:val="007A56FC"/>
    <w:rsid w:val="007A5BE9"/>
    <w:rsid w:val="007A60E4"/>
    <w:rsid w:val="007A6CE1"/>
    <w:rsid w:val="007A7654"/>
    <w:rsid w:val="007B4461"/>
    <w:rsid w:val="007B51E6"/>
    <w:rsid w:val="007B709F"/>
    <w:rsid w:val="007B7632"/>
    <w:rsid w:val="007C2F61"/>
    <w:rsid w:val="007C4280"/>
    <w:rsid w:val="007C53C1"/>
    <w:rsid w:val="007C5F4A"/>
    <w:rsid w:val="007C6897"/>
    <w:rsid w:val="007D3046"/>
    <w:rsid w:val="007D3F04"/>
    <w:rsid w:val="007D6E23"/>
    <w:rsid w:val="007D7301"/>
    <w:rsid w:val="007D7E1B"/>
    <w:rsid w:val="007E0570"/>
    <w:rsid w:val="007E1C78"/>
    <w:rsid w:val="007F0153"/>
    <w:rsid w:val="007F258F"/>
    <w:rsid w:val="007F261B"/>
    <w:rsid w:val="007F32BF"/>
    <w:rsid w:val="007F5425"/>
    <w:rsid w:val="007F7CA3"/>
    <w:rsid w:val="00800440"/>
    <w:rsid w:val="0080503D"/>
    <w:rsid w:val="00805837"/>
    <w:rsid w:val="008078EA"/>
    <w:rsid w:val="0081030A"/>
    <w:rsid w:val="008122E2"/>
    <w:rsid w:val="008124EB"/>
    <w:rsid w:val="00812FA1"/>
    <w:rsid w:val="00820251"/>
    <w:rsid w:val="00820AEE"/>
    <w:rsid w:val="00822142"/>
    <w:rsid w:val="0082216D"/>
    <w:rsid w:val="00822E0C"/>
    <w:rsid w:val="00823E61"/>
    <w:rsid w:val="00827D27"/>
    <w:rsid w:val="0083184B"/>
    <w:rsid w:val="008323FD"/>
    <w:rsid w:val="0083295C"/>
    <w:rsid w:val="0083435F"/>
    <w:rsid w:val="008433DD"/>
    <w:rsid w:val="008446B0"/>
    <w:rsid w:val="00844819"/>
    <w:rsid w:val="00847662"/>
    <w:rsid w:val="0085134E"/>
    <w:rsid w:val="0085185D"/>
    <w:rsid w:val="00854867"/>
    <w:rsid w:val="00855410"/>
    <w:rsid w:val="008574D1"/>
    <w:rsid w:val="00864D90"/>
    <w:rsid w:val="008662CD"/>
    <w:rsid w:val="0087182D"/>
    <w:rsid w:val="00875948"/>
    <w:rsid w:val="00876E08"/>
    <w:rsid w:val="0088029E"/>
    <w:rsid w:val="00880AB6"/>
    <w:rsid w:val="00882641"/>
    <w:rsid w:val="00883574"/>
    <w:rsid w:val="00884E33"/>
    <w:rsid w:val="00885955"/>
    <w:rsid w:val="00887693"/>
    <w:rsid w:val="008913F5"/>
    <w:rsid w:val="0089481D"/>
    <w:rsid w:val="00895860"/>
    <w:rsid w:val="008970FA"/>
    <w:rsid w:val="008979A0"/>
    <w:rsid w:val="008A03D7"/>
    <w:rsid w:val="008A23E0"/>
    <w:rsid w:val="008A244C"/>
    <w:rsid w:val="008A4BAC"/>
    <w:rsid w:val="008A5DDC"/>
    <w:rsid w:val="008C4108"/>
    <w:rsid w:val="008C548A"/>
    <w:rsid w:val="008D3A73"/>
    <w:rsid w:val="008D3BCD"/>
    <w:rsid w:val="008D6B34"/>
    <w:rsid w:val="008D7424"/>
    <w:rsid w:val="008D7DFB"/>
    <w:rsid w:val="008E06E0"/>
    <w:rsid w:val="008E24CD"/>
    <w:rsid w:val="008E5A7D"/>
    <w:rsid w:val="008F0A6A"/>
    <w:rsid w:val="008F134C"/>
    <w:rsid w:val="008F1BB6"/>
    <w:rsid w:val="008F1DA0"/>
    <w:rsid w:val="008F39D1"/>
    <w:rsid w:val="008F47DA"/>
    <w:rsid w:val="008F4CAB"/>
    <w:rsid w:val="00900028"/>
    <w:rsid w:val="00901C8A"/>
    <w:rsid w:val="0090574E"/>
    <w:rsid w:val="009106C4"/>
    <w:rsid w:val="00911A43"/>
    <w:rsid w:val="009125F4"/>
    <w:rsid w:val="00922EB9"/>
    <w:rsid w:val="00922FDC"/>
    <w:rsid w:val="00925F08"/>
    <w:rsid w:val="009278D4"/>
    <w:rsid w:val="00931532"/>
    <w:rsid w:val="00933659"/>
    <w:rsid w:val="009351B7"/>
    <w:rsid w:val="00936715"/>
    <w:rsid w:val="0094114A"/>
    <w:rsid w:val="00944C8B"/>
    <w:rsid w:val="009545E8"/>
    <w:rsid w:val="00955A17"/>
    <w:rsid w:val="009602A4"/>
    <w:rsid w:val="00962D6E"/>
    <w:rsid w:val="00962FB8"/>
    <w:rsid w:val="00963446"/>
    <w:rsid w:val="00963719"/>
    <w:rsid w:val="0096522D"/>
    <w:rsid w:val="00966B53"/>
    <w:rsid w:val="00971676"/>
    <w:rsid w:val="009767FE"/>
    <w:rsid w:val="00976D9C"/>
    <w:rsid w:val="0098136D"/>
    <w:rsid w:val="009824D7"/>
    <w:rsid w:val="009836F2"/>
    <w:rsid w:val="00983C19"/>
    <w:rsid w:val="009876BF"/>
    <w:rsid w:val="0099010E"/>
    <w:rsid w:val="00990452"/>
    <w:rsid w:val="00990462"/>
    <w:rsid w:val="00990474"/>
    <w:rsid w:val="00993B00"/>
    <w:rsid w:val="00993F85"/>
    <w:rsid w:val="009A0A58"/>
    <w:rsid w:val="009A1369"/>
    <w:rsid w:val="009A3B51"/>
    <w:rsid w:val="009A530A"/>
    <w:rsid w:val="009B1437"/>
    <w:rsid w:val="009B17F7"/>
    <w:rsid w:val="009B563E"/>
    <w:rsid w:val="009B660F"/>
    <w:rsid w:val="009B7543"/>
    <w:rsid w:val="009C2A65"/>
    <w:rsid w:val="009C3DAB"/>
    <w:rsid w:val="009C48F2"/>
    <w:rsid w:val="009D05F1"/>
    <w:rsid w:val="009D1B83"/>
    <w:rsid w:val="009D2760"/>
    <w:rsid w:val="009D32E5"/>
    <w:rsid w:val="009E36BB"/>
    <w:rsid w:val="009E4B71"/>
    <w:rsid w:val="009E4F48"/>
    <w:rsid w:val="009E5AA0"/>
    <w:rsid w:val="009E7C7D"/>
    <w:rsid w:val="009F1D24"/>
    <w:rsid w:val="009F3A39"/>
    <w:rsid w:val="009F3A43"/>
    <w:rsid w:val="009F3AB8"/>
    <w:rsid w:val="009F54A1"/>
    <w:rsid w:val="009F7BB2"/>
    <w:rsid w:val="00A01EFD"/>
    <w:rsid w:val="00A01F60"/>
    <w:rsid w:val="00A03289"/>
    <w:rsid w:val="00A056B1"/>
    <w:rsid w:val="00A06325"/>
    <w:rsid w:val="00A06A45"/>
    <w:rsid w:val="00A16495"/>
    <w:rsid w:val="00A17354"/>
    <w:rsid w:val="00A207F7"/>
    <w:rsid w:val="00A22624"/>
    <w:rsid w:val="00A242BD"/>
    <w:rsid w:val="00A24690"/>
    <w:rsid w:val="00A25917"/>
    <w:rsid w:val="00A25BFF"/>
    <w:rsid w:val="00A27105"/>
    <w:rsid w:val="00A27D7C"/>
    <w:rsid w:val="00A31AE4"/>
    <w:rsid w:val="00A33585"/>
    <w:rsid w:val="00A335AC"/>
    <w:rsid w:val="00A338E0"/>
    <w:rsid w:val="00A36AF7"/>
    <w:rsid w:val="00A40B7B"/>
    <w:rsid w:val="00A42432"/>
    <w:rsid w:val="00A42837"/>
    <w:rsid w:val="00A431D7"/>
    <w:rsid w:val="00A43283"/>
    <w:rsid w:val="00A458B7"/>
    <w:rsid w:val="00A46F99"/>
    <w:rsid w:val="00A50D3C"/>
    <w:rsid w:val="00A520DB"/>
    <w:rsid w:val="00A5439A"/>
    <w:rsid w:val="00A55223"/>
    <w:rsid w:val="00A571F3"/>
    <w:rsid w:val="00A62609"/>
    <w:rsid w:val="00A64E16"/>
    <w:rsid w:val="00A66545"/>
    <w:rsid w:val="00A66560"/>
    <w:rsid w:val="00A74CCF"/>
    <w:rsid w:val="00A7559A"/>
    <w:rsid w:val="00A75D2D"/>
    <w:rsid w:val="00A7655F"/>
    <w:rsid w:val="00A76EFD"/>
    <w:rsid w:val="00A84A2D"/>
    <w:rsid w:val="00A84A61"/>
    <w:rsid w:val="00A8536D"/>
    <w:rsid w:val="00A85C32"/>
    <w:rsid w:val="00A8669B"/>
    <w:rsid w:val="00A9180E"/>
    <w:rsid w:val="00A9388B"/>
    <w:rsid w:val="00AA3700"/>
    <w:rsid w:val="00AA5632"/>
    <w:rsid w:val="00AB4A04"/>
    <w:rsid w:val="00AB6831"/>
    <w:rsid w:val="00AB703A"/>
    <w:rsid w:val="00AB7434"/>
    <w:rsid w:val="00AB76F8"/>
    <w:rsid w:val="00AB7FA0"/>
    <w:rsid w:val="00AC0530"/>
    <w:rsid w:val="00AC1379"/>
    <w:rsid w:val="00AC383C"/>
    <w:rsid w:val="00AC3C79"/>
    <w:rsid w:val="00AC3F44"/>
    <w:rsid w:val="00AC48B6"/>
    <w:rsid w:val="00AD006E"/>
    <w:rsid w:val="00AD0273"/>
    <w:rsid w:val="00AD30A7"/>
    <w:rsid w:val="00AD3EBD"/>
    <w:rsid w:val="00AD417D"/>
    <w:rsid w:val="00AD73F5"/>
    <w:rsid w:val="00AE143C"/>
    <w:rsid w:val="00AE3044"/>
    <w:rsid w:val="00AE5EFC"/>
    <w:rsid w:val="00AE652D"/>
    <w:rsid w:val="00AF1FC1"/>
    <w:rsid w:val="00AF31C9"/>
    <w:rsid w:val="00AF4E88"/>
    <w:rsid w:val="00AF5577"/>
    <w:rsid w:val="00AF6279"/>
    <w:rsid w:val="00AF6B20"/>
    <w:rsid w:val="00AF6C36"/>
    <w:rsid w:val="00AF705D"/>
    <w:rsid w:val="00B01F8E"/>
    <w:rsid w:val="00B03BB7"/>
    <w:rsid w:val="00B05CEC"/>
    <w:rsid w:val="00B07DD3"/>
    <w:rsid w:val="00B132AB"/>
    <w:rsid w:val="00B13996"/>
    <w:rsid w:val="00B143BD"/>
    <w:rsid w:val="00B158D5"/>
    <w:rsid w:val="00B16337"/>
    <w:rsid w:val="00B1718D"/>
    <w:rsid w:val="00B21112"/>
    <w:rsid w:val="00B23353"/>
    <w:rsid w:val="00B2352C"/>
    <w:rsid w:val="00B24168"/>
    <w:rsid w:val="00B255A3"/>
    <w:rsid w:val="00B26413"/>
    <w:rsid w:val="00B26BC2"/>
    <w:rsid w:val="00B30567"/>
    <w:rsid w:val="00B30EBF"/>
    <w:rsid w:val="00B332BD"/>
    <w:rsid w:val="00B3568D"/>
    <w:rsid w:val="00B36510"/>
    <w:rsid w:val="00B40E80"/>
    <w:rsid w:val="00B41AED"/>
    <w:rsid w:val="00B4702D"/>
    <w:rsid w:val="00B508C2"/>
    <w:rsid w:val="00B514B8"/>
    <w:rsid w:val="00B518EE"/>
    <w:rsid w:val="00B52F37"/>
    <w:rsid w:val="00B5518D"/>
    <w:rsid w:val="00B56D0A"/>
    <w:rsid w:val="00B573E7"/>
    <w:rsid w:val="00B6000E"/>
    <w:rsid w:val="00B6099C"/>
    <w:rsid w:val="00B62D99"/>
    <w:rsid w:val="00B64F90"/>
    <w:rsid w:val="00B7137A"/>
    <w:rsid w:val="00B72CE7"/>
    <w:rsid w:val="00B7565C"/>
    <w:rsid w:val="00B77A76"/>
    <w:rsid w:val="00B80C14"/>
    <w:rsid w:val="00B81768"/>
    <w:rsid w:val="00B81A12"/>
    <w:rsid w:val="00B81CCD"/>
    <w:rsid w:val="00B8200D"/>
    <w:rsid w:val="00B822B2"/>
    <w:rsid w:val="00B822C7"/>
    <w:rsid w:val="00B856B0"/>
    <w:rsid w:val="00B865D8"/>
    <w:rsid w:val="00B868AF"/>
    <w:rsid w:val="00B8739D"/>
    <w:rsid w:val="00B91D10"/>
    <w:rsid w:val="00B93C3C"/>
    <w:rsid w:val="00B94353"/>
    <w:rsid w:val="00B94D0E"/>
    <w:rsid w:val="00BA2A69"/>
    <w:rsid w:val="00BA62FF"/>
    <w:rsid w:val="00BB30E6"/>
    <w:rsid w:val="00BB7300"/>
    <w:rsid w:val="00BB7AC9"/>
    <w:rsid w:val="00BC0E12"/>
    <w:rsid w:val="00BC5280"/>
    <w:rsid w:val="00BC648A"/>
    <w:rsid w:val="00BC6C6A"/>
    <w:rsid w:val="00BD586B"/>
    <w:rsid w:val="00BD5A40"/>
    <w:rsid w:val="00BD6399"/>
    <w:rsid w:val="00BE1138"/>
    <w:rsid w:val="00BE4416"/>
    <w:rsid w:val="00BF3E9A"/>
    <w:rsid w:val="00BF4278"/>
    <w:rsid w:val="00BF4985"/>
    <w:rsid w:val="00BF5883"/>
    <w:rsid w:val="00BF5943"/>
    <w:rsid w:val="00C00607"/>
    <w:rsid w:val="00C05215"/>
    <w:rsid w:val="00C12018"/>
    <w:rsid w:val="00C13755"/>
    <w:rsid w:val="00C1431B"/>
    <w:rsid w:val="00C14875"/>
    <w:rsid w:val="00C20820"/>
    <w:rsid w:val="00C21582"/>
    <w:rsid w:val="00C21BA5"/>
    <w:rsid w:val="00C252AB"/>
    <w:rsid w:val="00C26CC8"/>
    <w:rsid w:val="00C2749C"/>
    <w:rsid w:val="00C27B23"/>
    <w:rsid w:val="00C27EBC"/>
    <w:rsid w:val="00C31192"/>
    <w:rsid w:val="00C34FE1"/>
    <w:rsid w:val="00C41528"/>
    <w:rsid w:val="00C43941"/>
    <w:rsid w:val="00C4523A"/>
    <w:rsid w:val="00C5013B"/>
    <w:rsid w:val="00C5038B"/>
    <w:rsid w:val="00C50A20"/>
    <w:rsid w:val="00C53665"/>
    <w:rsid w:val="00C556BD"/>
    <w:rsid w:val="00C5597B"/>
    <w:rsid w:val="00C576E3"/>
    <w:rsid w:val="00C57916"/>
    <w:rsid w:val="00C61134"/>
    <w:rsid w:val="00C61992"/>
    <w:rsid w:val="00C65227"/>
    <w:rsid w:val="00C66634"/>
    <w:rsid w:val="00C7007C"/>
    <w:rsid w:val="00C7067D"/>
    <w:rsid w:val="00C74380"/>
    <w:rsid w:val="00C768C7"/>
    <w:rsid w:val="00C80AB6"/>
    <w:rsid w:val="00C85DEE"/>
    <w:rsid w:val="00C86BBC"/>
    <w:rsid w:val="00C8786B"/>
    <w:rsid w:val="00C92F0D"/>
    <w:rsid w:val="00C941BD"/>
    <w:rsid w:val="00C94D5B"/>
    <w:rsid w:val="00CA0C7B"/>
    <w:rsid w:val="00CA255A"/>
    <w:rsid w:val="00CA555B"/>
    <w:rsid w:val="00CA6088"/>
    <w:rsid w:val="00CA6F18"/>
    <w:rsid w:val="00CB5337"/>
    <w:rsid w:val="00CC06EE"/>
    <w:rsid w:val="00CC20DB"/>
    <w:rsid w:val="00CC34BE"/>
    <w:rsid w:val="00CD0E9F"/>
    <w:rsid w:val="00CD1104"/>
    <w:rsid w:val="00CD1CA9"/>
    <w:rsid w:val="00CD21FE"/>
    <w:rsid w:val="00CE654E"/>
    <w:rsid w:val="00CF0555"/>
    <w:rsid w:val="00CF05BE"/>
    <w:rsid w:val="00CF1D60"/>
    <w:rsid w:val="00CF3B68"/>
    <w:rsid w:val="00CF460C"/>
    <w:rsid w:val="00CF6C60"/>
    <w:rsid w:val="00CF7D39"/>
    <w:rsid w:val="00D0402B"/>
    <w:rsid w:val="00D06A48"/>
    <w:rsid w:val="00D11ABD"/>
    <w:rsid w:val="00D151CB"/>
    <w:rsid w:val="00D157D0"/>
    <w:rsid w:val="00D22180"/>
    <w:rsid w:val="00D251B3"/>
    <w:rsid w:val="00D336A4"/>
    <w:rsid w:val="00D33D1D"/>
    <w:rsid w:val="00D34289"/>
    <w:rsid w:val="00D343BB"/>
    <w:rsid w:val="00D36B6B"/>
    <w:rsid w:val="00D3785D"/>
    <w:rsid w:val="00D40306"/>
    <w:rsid w:val="00D42266"/>
    <w:rsid w:val="00D47512"/>
    <w:rsid w:val="00D52211"/>
    <w:rsid w:val="00D5368C"/>
    <w:rsid w:val="00D5593B"/>
    <w:rsid w:val="00D56E44"/>
    <w:rsid w:val="00D56EE5"/>
    <w:rsid w:val="00D61AB0"/>
    <w:rsid w:val="00D64691"/>
    <w:rsid w:val="00D64F36"/>
    <w:rsid w:val="00D7062C"/>
    <w:rsid w:val="00D70DAA"/>
    <w:rsid w:val="00D72D6E"/>
    <w:rsid w:val="00D74032"/>
    <w:rsid w:val="00D77029"/>
    <w:rsid w:val="00D80508"/>
    <w:rsid w:val="00D82B74"/>
    <w:rsid w:val="00D85BD0"/>
    <w:rsid w:val="00D90FF4"/>
    <w:rsid w:val="00D952B0"/>
    <w:rsid w:val="00D959D2"/>
    <w:rsid w:val="00D95EB2"/>
    <w:rsid w:val="00D97138"/>
    <w:rsid w:val="00DA02AC"/>
    <w:rsid w:val="00DA150E"/>
    <w:rsid w:val="00DA1C52"/>
    <w:rsid w:val="00DA4593"/>
    <w:rsid w:val="00DA5650"/>
    <w:rsid w:val="00DB0753"/>
    <w:rsid w:val="00DB0CF1"/>
    <w:rsid w:val="00DB135A"/>
    <w:rsid w:val="00DB3E8F"/>
    <w:rsid w:val="00DB4F1C"/>
    <w:rsid w:val="00DB587C"/>
    <w:rsid w:val="00DB7FE9"/>
    <w:rsid w:val="00DC30D0"/>
    <w:rsid w:val="00DC3C18"/>
    <w:rsid w:val="00DC6A07"/>
    <w:rsid w:val="00DD17AF"/>
    <w:rsid w:val="00DD1A7C"/>
    <w:rsid w:val="00DD1DD4"/>
    <w:rsid w:val="00DE0517"/>
    <w:rsid w:val="00DE0922"/>
    <w:rsid w:val="00DE20AB"/>
    <w:rsid w:val="00DE331C"/>
    <w:rsid w:val="00DE7379"/>
    <w:rsid w:val="00DF37E3"/>
    <w:rsid w:val="00DF3CD4"/>
    <w:rsid w:val="00DF4290"/>
    <w:rsid w:val="00DF44D5"/>
    <w:rsid w:val="00E00E1F"/>
    <w:rsid w:val="00E0189A"/>
    <w:rsid w:val="00E03320"/>
    <w:rsid w:val="00E12861"/>
    <w:rsid w:val="00E12A18"/>
    <w:rsid w:val="00E13295"/>
    <w:rsid w:val="00E14BE4"/>
    <w:rsid w:val="00E14D3F"/>
    <w:rsid w:val="00E15FB7"/>
    <w:rsid w:val="00E2182F"/>
    <w:rsid w:val="00E27165"/>
    <w:rsid w:val="00E307E2"/>
    <w:rsid w:val="00E33A8B"/>
    <w:rsid w:val="00E360FA"/>
    <w:rsid w:val="00E3701E"/>
    <w:rsid w:val="00E3736B"/>
    <w:rsid w:val="00E37451"/>
    <w:rsid w:val="00E42AAF"/>
    <w:rsid w:val="00E42E46"/>
    <w:rsid w:val="00E435C8"/>
    <w:rsid w:val="00E44527"/>
    <w:rsid w:val="00E461DF"/>
    <w:rsid w:val="00E464CF"/>
    <w:rsid w:val="00E46625"/>
    <w:rsid w:val="00E46CCF"/>
    <w:rsid w:val="00E46FF9"/>
    <w:rsid w:val="00E52D93"/>
    <w:rsid w:val="00E538C2"/>
    <w:rsid w:val="00E53C62"/>
    <w:rsid w:val="00E540A2"/>
    <w:rsid w:val="00E568EC"/>
    <w:rsid w:val="00E73206"/>
    <w:rsid w:val="00E76EA8"/>
    <w:rsid w:val="00E7732F"/>
    <w:rsid w:val="00E83F12"/>
    <w:rsid w:val="00E85010"/>
    <w:rsid w:val="00E8792F"/>
    <w:rsid w:val="00E90D01"/>
    <w:rsid w:val="00E96FB7"/>
    <w:rsid w:val="00EA2BEC"/>
    <w:rsid w:val="00EA34EC"/>
    <w:rsid w:val="00EA386F"/>
    <w:rsid w:val="00EA522C"/>
    <w:rsid w:val="00EA70A9"/>
    <w:rsid w:val="00EA7AB8"/>
    <w:rsid w:val="00EB3611"/>
    <w:rsid w:val="00EB4848"/>
    <w:rsid w:val="00EB5F5B"/>
    <w:rsid w:val="00EB7A04"/>
    <w:rsid w:val="00EC328A"/>
    <w:rsid w:val="00ED18B3"/>
    <w:rsid w:val="00ED2C76"/>
    <w:rsid w:val="00ED5DAB"/>
    <w:rsid w:val="00EE15B4"/>
    <w:rsid w:val="00EE182A"/>
    <w:rsid w:val="00EE440A"/>
    <w:rsid w:val="00EE5041"/>
    <w:rsid w:val="00EE62CE"/>
    <w:rsid w:val="00EF07FC"/>
    <w:rsid w:val="00EF1AF1"/>
    <w:rsid w:val="00EF4229"/>
    <w:rsid w:val="00EF4407"/>
    <w:rsid w:val="00EF4544"/>
    <w:rsid w:val="00EF49D4"/>
    <w:rsid w:val="00EF653E"/>
    <w:rsid w:val="00F0020C"/>
    <w:rsid w:val="00F00AED"/>
    <w:rsid w:val="00F016C6"/>
    <w:rsid w:val="00F05FDA"/>
    <w:rsid w:val="00F12081"/>
    <w:rsid w:val="00F1411A"/>
    <w:rsid w:val="00F2070A"/>
    <w:rsid w:val="00F25C25"/>
    <w:rsid w:val="00F30AE2"/>
    <w:rsid w:val="00F3101A"/>
    <w:rsid w:val="00F31D55"/>
    <w:rsid w:val="00F32E98"/>
    <w:rsid w:val="00F35708"/>
    <w:rsid w:val="00F42338"/>
    <w:rsid w:val="00F43BE9"/>
    <w:rsid w:val="00F46A90"/>
    <w:rsid w:val="00F528F7"/>
    <w:rsid w:val="00F5290C"/>
    <w:rsid w:val="00F52B26"/>
    <w:rsid w:val="00F53386"/>
    <w:rsid w:val="00F5394D"/>
    <w:rsid w:val="00F54834"/>
    <w:rsid w:val="00F54A2A"/>
    <w:rsid w:val="00F57B6D"/>
    <w:rsid w:val="00F6069C"/>
    <w:rsid w:val="00F6568F"/>
    <w:rsid w:val="00F657CC"/>
    <w:rsid w:val="00F657CF"/>
    <w:rsid w:val="00F66E87"/>
    <w:rsid w:val="00F700DF"/>
    <w:rsid w:val="00F73CD4"/>
    <w:rsid w:val="00F74A11"/>
    <w:rsid w:val="00F74AB5"/>
    <w:rsid w:val="00F75526"/>
    <w:rsid w:val="00F76D6A"/>
    <w:rsid w:val="00F7795D"/>
    <w:rsid w:val="00F77F42"/>
    <w:rsid w:val="00F800E4"/>
    <w:rsid w:val="00F80626"/>
    <w:rsid w:val="00F83C8C"/>
    <w:rsid w:val="00F8547C"/>
    <w:rsid w:val="00F863D2"/>
    <w:rsid w:val="00F90551"/>
    <w:rsid w:val="00F90A8F"/>
    <w:rsid w:val="00F91D74"/>
    <w:rsid w:val="00F950DB"/>
    <w:rsid w:val="00F9533F"/>
    <w:rsid w:val="00F9737C"/>
    <w:rsid w:val="00FA00B2"/>
    <w:rsid w:val="00FA3E2C"/>
    <w:rsid w:val="00FA521D"/>
    <w:rsid w:val="00FA6769"/>
    <w:rsid w:val="00FA67CA"/>
    <w:rsid w:val="00FB0969"/>
    <w:rsid w:val="00FB245F"/>
    <w:rsid w:val="00FB3270"/>
    <w:rsid w:val="00FB3ACA"/>
    <w:rsid w:val="00FB45EF"/>
    <w:rsid w:val="00FB5DE2"/>
    <w:rsid w:val="00FB6FA3"/>
    <w:rsid w:val="00FB7C93"/>
    <w:rsid w:val="00FC0A8A"/>
    <w:rsid w:val="00FC11CD"/>
    <w:rsid w:val="00FC14B8"/>
    <w:rsid w:val="00FC2A94"/>
    <w:rsid w:val="00FC55C3"/>
    <w:rsid w:val="00FC5746"/>
    <w:rsid w:val="00FC5EF0"/>
    <w:rsid w:val="00FC6C78"/>
    <w:rsid w:val="00FC75F5"/>
    <w:rsid w:val="00FD0505"/>
    <w:rsid w:val="00FD1010"/>
    <w:rsid w:val="00FD5285"/>
    <w:rsid w:val="00FD5A36"/>
    <w:rsid w:val="00FD62F2"/>
    <w:rsid w:val="00FE07C4"/>
    <w:rsid w:val="00FE122D"/>
    <w:rsid w:val="00FE36A6"/>
    <w:rsid w:val="00FE5351"/>
    <w:rsid w:val="00FE663F"/>
    <w:rsid w:val="00FE69AD"/>
    <w:rsid w:val="00FE69D7"/>
    <w:rsid w:val="00FF090E"/>
    <w:rsid w:val="00FF274F"/>
    <w:rsid w:val="00FF7404"/>
    <w:rsid w:val="0171372A"/>
    <w:rsid w:val="032625C0"/>
    <w:rsid w:val="037D31E0"/>
    <w:rsid w:val="04394ED0"/>
    <w:rsid w:val="05297610"/>
    <w:rsid w:val="05852B77"/>
    <w:rsid w:val="06B7192F"/>
    <w:rsid w:val="07494370"/>
    <w:rsid w:val="07751AA7"/>
    <w:rsid w:val="099C369E"/>
    <w:rsid w:val="09AE0A2A"/>
    <w:rsid w:val="09D66AC5"/>
    <w:rsid w:val="0BF92D3C"/>
    <w:rsid w:val="0C14357E"/>
    <w:rsid w:val="0C4B0CFE"/>
    <w:rsid w:val="0C6462EE"/>
    <w:rsid w:val="0C715980"/>
    <w:rsid w:val="0D0F7819"/>
    <w:rsid w:val="0E9268CE"/>
    <w:rsid w:val="11E2726A"/>
    <w:rsid w:val="12191C9A"/>
    <w:rsid w:val="126A6E68"/>
    <w:rsid w:val="12B939CA"/>
    <w:rsid w:val="12ED4239"/>
    <w:rsid w:val="134470AA"/>
    <w:rsid w:val="1448122E"/>
    <w:rsid w:val="159323FE"/>
    <w:rsid w:val="16002959"/>
    <w:rsid w:val="16062F79"/>
    <w:rsid w:val="164A12A6"/>
    <w:rsid w:val="177A170B"/>
    <w:rsid w:val="19CA6197"/>
    <w:rsid w:val="1AB11DF3"/>
    <w:rsid w:val="1B1918FE"/>
    <w:rsid w:val="1D3005C4"/>
    <w:rsid w:val="1DB533B2"/>
    <w:rsid w:val="1DD747D4"/>
    <w:rsid w:val="1E063940"/>
    <w:rsid w:val="206C0BD7"/>
    <w:rsid w:val="21733D1E"/>
    <w:rsid w:val="21D9328B"/>
    <w:rsid w:val="22041771"/>
    <w:rsid w:val="22801AE8"/>
    <w:rsid w:val="22F13E55"/>
    <w:rsid w:val="23554639"/>
    <w:rsid w:val="24411C46"/>
    <w:rsid w:val="26700785"/>
    <w:rsid w:val="26CE70AA"/>
    <w:rsid w:val="27271725"/>
    <w:rsid w:val="27411551"/>
    <w:rsid w:val="27E77534"/>
    <w:rsid w:val="283B0780"/>
    <w:rsid w:val="28813B5C"/>
    <w:rsid w:val="28FC3C52"/>
    <w:rsid w:val="29B4030A"/>
    <w:rsid w:val="29DC021B"/>
    <w:rsid w:val="2A99034E"/>
    <w:rsid w:val="2AF042D2"/>
    <w:rsid w:val="2B385A07"/>
    <w:rsid w:val="2CCC241A"/>
    <w:rsid w:val="2D827744"/>
    <w:rsid w:val="2DF04B8E"/>
    <w:rsid w:val="2E7534EC"/>
    <w:rsid w:val="2E9422EF"/>
    <w:rsid w:val="2F9B2584"/>
    <w:rsid w:val="2FB74F50"/>
    <w:rsid w:val="3103591C"/>
    <w:rsid w:val="3106166C"/>
    <w:rsid w:val="31816EC4"/>
    <w:rsid w:val="31984FFE"/>
    <w:rsid w:val="31A74CFB"/>
    <w:rsid w:val="31FC2C40"/>
    <w:rsid w:val="35DC281A"/>
    <w:rsid w:val="35FD6A4F"/>
    <w:rsid w:val="36EE0D81"/>
    <w:rsid w:val="3889187F"/>
    <w:rsid w:val="394A3361"/>
    <w:rsid w:val="3A6F053E"/>
    <w:rsid w:val="3A8421B0"/>
    <w:rsid w:val="3BC23AA4"/>
    <w:rsid w:val="3C641B74"/>
    <w:rsid w:val="3CC33D4A"/>
    <w:rsid w:val="3D0A1BF9"/>
    <w:rsid w:val="3DA96A99"/>
    <w:rsid w:val="41361712"/>
    <w:rsid w:val="428E3EEB"/>
    <w:rsid w:val="45B83732"/>
    <w:rsid w:val="46402342"/>
    <w:rsid w:val="47656373"/>
    <w:rsid w:val="47792921"/>
    <w:rsid w:val="47C21FA7"/>
    <w:rsid w:val="47C84492"/>
    <w:rsid w:val="484C7173"/>
    <w:rsid w:val="486A090E"/>
    <w:rsid w:val="48AA78F0"/>
    <w:rsid w:val="48E24A06"/>
    <w:rsid w:val="497B45C1"/>
    <w:rsid w:val="4A211DB4"/>
    <w:rsid w:val="4B5E1788"/>
    <w:rsid w:val="4B6A0B86"/>
    <w:rsid w:val="4B8D4AD1"/>
    <w:rsid w:val="4C414372"/>
    <w:rsid w:val="4CDD5922"/>
    <w:rsid w:val="4D6F40F3"/>
    <w:rsid w:val="4DF21C08"/>
    <w:rsid w:val="4E251DE3"/>
    <w:rsid w:val="4F3E7D8A"/>
    <w:rsid w:val="4F5B0959"/>
    <w:rsid w:val="50442B90"/>
    <w:rsid w:val="50D64526"/>
    <w:rsid w:val="51820EA7"/>
    <w:rsid w:val="52990254"/>
    <w:rsid w:val="53391937"/>
    <w:rsid w:val="535649E0"/>
    <w:rsid w:val="539332E5"/>
    <w:rsid w:val="53EF3F7B"/>
    <w:rsid w:val="5452151C"/>
    <w:rsid w:val="5464430D"/>
    <w:rsid w:val="55303CCB"/>
    <w:rsid w:val="553C7D54"/>
    <w:rsid w:val="55E53679"/>
    <w:rsid w:val="584E3682"/>
    <w:rsid w:val="590165CB"/>
    <w:rsid w:val="590B2936"/>
    <w:rsid w:val="598A488A"/>
    <w:rsid w:val="5A0115A2"/>
    <w:rsid w:val="5BB46607"/>
    <w:rsid w:val="5C781911"/>
    <w:rsid w:val="5CA502A5"/>
    <w:rsid w:val="5D233A6F"/>
    <w:rsid w:val="5E80058E"/>
    <w:rsid w:val="5EBC6CAD"/>
    <w:rsid w:val="5F85101F"/>
    <w:rsid w:val="600E4902"/>
    <w:rsid w:val="60C70617"/>
    <w:rsid w:val="636062B4"/>
    <w:rsid w:val="63D16730"/>
    <w:rsid w:val="63EA5036"/>
    <w:rsid w:val="65BC6A77"/>
    <w:rsid w:val="65F81E9B"/>
    <w:rsid w:val="66EB6D07"/>
    <w:rsid w:val="6823570D"/>
    <w:rsid w:val="69F45FB2"/>
    <w:rsid w:val="6C5261A3"/>
    <w:rsid w:val="6CAA3DAD"/>
    <w:rsid w:val="6CBD1BCD"/>
    <w:rsid w:val="6EAE7345"/>
    <w:rsid w:val="6F1671D8"/>
    <w:rsid w:val="702A743F"/>
    <w:rsid w:val="712C7EB3"/>
    <w:rsid w:val="71B50ED2"/>
    <w:rsid w:val="71DF740B"/>
    <w:rsid w:val="71EC082B"/>
    <w:rsid w:val="72AE351C"/>
    <w:rsid w:val="72B97EEF"/>
    <w:rsid w:val="72BF1132"/>
    <w:rsid w:val="72F40C25"/>
    <w:rsid w:val="72F6798B"/>
    <w:rsid w:val="72FF67AF"/>
    <w:rsid w:val="73EA2CC3"/>
    <w:rsid w:val="7445411F"/>
    <w:rsid w:val="74DC2072"/>
    <w:rsid w:val="756A15B3"/>
    <w:rsid w:val="758632C4"/>
    <w:rsid w:val="764D0A22"/>
    <w:rsid w:val="765147D8"/>
    <w:rsid w:val="76547DB1"/>
    <w:rsid w:val="76787C4D"/>
    <w:rsid w:val="76EE2FD5"/>
    <w:rsid w:val="77E91850"/>
    <w:rsid w:val="786E2212"/>
    <w:rsid w:val="78877E8E"/>
    <w:rsid w:val="7A18635F"/>
    <w:rsid w:val="7B3921B8"/>
    <w:rsid w:val="7BEC5FFA"/>
    <w:rsid w:val="7C0E06C1"/>
    <w:rsid w:val="7C745A27"/>
    <w:rsid w:val="7D9323CD"/>
    <w:rsid w:val="7E1C41A7"/>
    <w:rsid w:val="7E294B24"/>
    <w:rsid w:val="7E8A0FAD"/>
    <w:rsid w:val="7F102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link w:val="77"/>
    <w:qFormat/>
    <w:uiPriority w:val="0"/>
    <w:pPr>
      <w:spacing w:line="480" w:lineRule="atLeast"/>
      <w:outlineLvl w:val="0"/>
    </w:pPr>
    <w:rPr>
      <w:rFonts w:ascii="宋体" w:hAnsi="宋体" w:eastAsia="宋体"/>
      <w:b/>
      <w:sz w:val="30"/>
      <w:szCs w:val="30"/>
    </w:rPr>
  </w:style>
  <w:style w:type="paragraph" w:styleId="4">
    <w:name w:val="heading 2"/>
    <w:basedOn w:val="3"/>
    <w:next w:val="1"/>
    <w:link w:val="45"/>
    <w:qFormat/>
    <w:uiPriority w:val="0"/>
    <w:pPr>
      <w:outlineLvl w:val="1"/>
    </w:pPr>
    <w:rPr>
      <w:sz w:val="28"/>
    </w:rPr>
  </w:style>
  <w:style w:type="paragraph" w:styleId="5">
    <w:name w:val="heading 3"/>
    <w:basedOn w:val="1"/>
    <w:next w:val="1"/>
    <w:link w:val="54"/>
    <w:qFormat/>
    <w:uiPriority w:val="0"/>
    <w:pPr>
      <w:spacing w:line="480" w:lineRule="atLeast"/>
      <w:outlineLvl w:val="2"/>
    </w:pPr>
    <w:rPr>
      <w:rFonts w:ascii="宋体" w:hAnsi="宋体" w:eastAsia="宋体"/>
      <w:sz w:val="24"/>
      <w:szCs w:val="24"/>
    </w:rPr>
  </w:style>
  <w:style w:type="paragraph" w:styleId="6">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7">
    <w:name w:val="Normal Indent"/>
    <w:basedOn w:val="1"/>
    <w:link w:val="43"/>
    <w:qFormat/>
    <w:uiPriority w:val="0"/>
    <w:pPr>
      <w:ind w:firstLine="420" w:firstLineChars="200"/>
    </w:pPr>
    <w:rPr>
      <w:rFonts w:eastAsia="宋体"/>
      <w:szCs w:val="24"/>
    </w:rPr>
  </w:style>
  <w:style w:type="paragraph" w:styleId="8">
    <w:name w:val="caption"/>
    <w:basedOn w:val="1"/>
    <w:next w:val="1"/>
    <w:link w:val="44"/>
    <w:qFormat/>
    <w:uiPriority w:val="0"/>
    <w:pPr>
      <w:jc w:val="center"/>
    </w:pPr>
    <w:rPr>
      <w:rFonts w:ascii="宋体" w:hAnsi="Arial" w:eastAsia="宋体" w:cs="Arial"/>
    </w:rPr>
  </w:style>
  <w:style w:type="paragraph" w:styleId="9">
    <w:name w:val="Document Map"/>
    <w:basedOn w:val="1"/>
    <w:link w:val="78"/>
    <w:semiHidden/>
    <w:qFormat/>
    <w:uiPriority w:val="0"/>
    <w:pPr>
      <w:shd w:val="clear" w:color="auto" w:fill="000080"/>
    </w:pPr>
    <w:rPr>
      <w:rFonts w:ascii="Times New Roman" w:hAnsi="Times New Roman" w:eastAsia="宋体"/>
      <w:szCs w:val="24"/>
    </w:rPr>
  </w:style>
  <w:style w:type="paragraph" w:styleId="10">
    <w:name w:val="annotation text"/>
    <w:basedOn w:val="1"/>
    <w:link w:val="38"/>
    <w:qFormat/>
    <w:uiPriority w:val="0"/>
    <w:pPr>
      <w:jc w:val="left"/>
    </w:pPr>
    <w:rPr>
      <w:szCs w:val="24"/>
    </w:rPr>
  </w:style>
  <w:style w:type="paragraph" w:styleId="11">
    <w:name w:val="Body Text 3"/>
    <w:basedOn w:val="1"/>
    <w:link w:val="60"/>
    <w:qFormat/>
    <w:uiPriority w:val="0"/>
    <w:pPr>
      <w:spacing w:after="120"/>
    </w:pPr>
    <w:rPr>
      <w:rFonts w:ascii="Times New Roman" w:hAnsi="Times New Roman" w:eastAsia="宋体"/>
      <w:sz w:val="16"/>
      <w:szCs w:val="16"/>
    </w:rPr>
  </w:style>
  <w:style w:type="paragraph" w:styleId="12">
    <w:name w:val="Closing"/>
    <w:basedOn w:val="1"/>
    <w:link w:val="64"/>
    <w:qFormat/>
    <w:uiPriority w:val="0"/>
    <w:pPr>
      <w:ind w:left="100" w:leftChars="2100"/>
    </w:pPr>
    <w:rPr>
      <w:rFonts w:ascii="Times New Roman" w:hAnsi="Times New Roman" w:eastAsia="宋体"/>
      <w:szCs w:val="21"/>
    </w:rPr>
  </w:style>
  <w:style w:type="paragraph" w:styleId="13">
    <w:name w:val="Body Text"/>
    <w:basedOn w:val="1"/>
    <w:link w:val="68"/>
    <w:qFormat/>
    <w:uiPriority w:val="0"/>
    <w:rPr>
      <w:rFonts w:ascii="Times New Roman" w:hAnsi="Times New Roman" w:eastAsia="宋体"/>
      <w:sz w:val="32"/>
      <w:szCs w:val="20"/>
    </w:rPr>
  </w:style>
  <w:style w:type="paragraph" w:styleId="14">
    <w:name w:val="Body Text Indent"/>
    <w:basedOn w:val="1"/>
    <w:link w:val="51"/>
    <w:qFormat/>
    <w:uiPriority w:val="0"/>
    <w:pPr>
      <w:spacing w:line="300" w:lineRule="exact"/>
      <w:ind w:firstLine="538"/>
    </w:pPr>
    <w:rPr>
      <w:rFonts w:ascii="宋体" w:hAnsi="Times New Roman" w:eastAsia="宋体"/>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sz w:val="24"/>
      <w:szCs w:val="20"/>
    </w:rPr>
  </w:style>
  <w:style w:type="paragraph" w:styleId="16">
    <w:name w:val="toc 3"/>
    <w:basedOn w:val="1"/>
    <w:next w:val="1"/>
    <w:unhideWhenUsed/>
    <w:qFormat/>
    <w:uiPriority w:val="39"/>
    <w:pPr>
      <w:widowControl/>
      <w:tabs>
        <w:tab w:val="right" w:leader="hyphen" w:pos="8296"/>
      </w:tabs>
      <w:spacing w:after="100" w:line="259" w:lineRule="auto"/>
      <w:ind w:left="440"/>
      <w:jc w:val="left"/>
    </w:pPr>
    <w:rPr>
      <w:rFonts w:ascii="宋体" w:hAnsi="宋体" w:eastAsia="宋体"/>
      <w:kern w:val="0"/>
      <w:sz w:val="24"/>
      <w:szCs w:val="24"/>
      <w:lang w:val="en-US" w:eastAsia="zh-CN"/>
    </w:rPr>
  </w:style>
  <w:style w:type="paragraph" w:styleId="17">
    <w:name w:val="Plain Text"/>
    <w:basedOn w:val="1"/>
    <w:link w:val="82"/>
    <w:qFormat/>
    <w:uiPriority w:val="0"/>
    <w:rPr>
      <w:rFonts w:ascii="宋体" w:hAnsi="Courier New" w:eastAsia="宋体"/>
      <w:kern w:val="0"/>
      <w:sz w:val="20"/>
      <w:szCs w:val="20"/>
    </w:rPr>
  </w:style>
  <w:style w:type="paragraph" w:styleId="18">
    <w:name w:val="Date"/>
    <w:basedOn w:val="1"/>
    <w:next w:val="1"/>
    <w:link w:val="65"/>
    <w:unhideWhenUsed/>
    <w:qFormat/>
    <w:uiPriority w:val="0"/>
    <w:pPr>
      <w:ind w:left="100" w:leftChars="2500"/>
    </w:pPr>
  </w:style>
  <w:style w:type="paragraph" w:styleId="19">
    <w:name w:val="Body Text Indent 2"/>
    <w:basedOn w:val="1"/>
    <w:link w:val="41"/>
    <w:qFormat/>
    <w:uiPriority w:val="0"/>
    <w:pPr>
      <w:ind w:left="-140" w:firstLine="560"/>
      <w:jc w:val="left"/>
      <w:outlineLvl w:val="0"/>
    </w:pPr>
    <w:rPr>
      <w:rFonts w:ascii="Times New Roman" w:hAnsi="Times New Roman" w:eastAsia="宋体"/>
      <w:sz w:val="28"/>
      <w:szCs w:val="20"/>
    </w:rPr>
  </w:style>
  <w:style w:type="paragraph" w:styleId="20">
    <w:name w:val="Balloon Text"/>
    <w:basedOn w:val="1"/>
    <w:link w:val="48"/>
    <w:unhideWhenUsed/>
    <w:qFormat/>
    <w:uiPriority w:val="0"/>
    <w:rPr>
      <w:sz w:val="18"/>
      <w:szCs w:val="18"/>
    </w:rPr>
  </w:style>
  <w:style w:type="paragraph" w:styleId="21">
    <w:name w:val="footer"/>
    <w:basedOn w:val="1"/>
    <w:link w:val="39"/>
    <w:unhideWhenUsed/>
    <w:qFormat/>
    <w:uiPriority w:val="99"/>
    <w:pPr>
      <w:tabs>
        <w:tab w:val="center" w:pos="4153"/>
        <w:tab w:val="right" w:pos="8306"/>
      </w:tabs>
      <w:snapToGrid w:val="0"/>
      <w:jc w:val="left"/>
    </w:pPr>
    <w:rPr>
      <w:sz w:val="18"/>
      <w:szCs w:val="18"/>
    </w:rPr>
  </w:style>
  <w:style w:type="paragraph" w:styleId="22">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sz w:val="24"/>
      <w:szCs w:val="20"/>
    </w:rPr>
  </w:style>
  <w:style w:type="paragraph" w:styleId="24">
    <w:name w:val="List"/>
    <w:basedOn w:val="1"/>
    <w:qFormat/>
    <w:uiPriority w:val="0"/>
    <w:pPr>
      <w:spacing w:line="360" w:lineRule="exact"/>
      <w:ind w:firstLine="38" w:firstLineChars="18"/>
      <w:jc w:val="left"/>
    </w:pPr>
    <w:rPr>
      <w:rFonts w:ascii="宋体" w:hAnsi="Times New Roman" w:eastAsia="宋体"/>
      <w:szCs w:val="21"/>
    </w:rPr>
  </w:style>
  <w:style w:type="paragraph" w:styleId="25">
    <w:name w:val="Body Text Indent 3"/>
    <w:basedOn w:val="1"/>
    <w:link w:val="49"/>
    <w:qFormat/>
    <w:uiPriority w:val="0"/>
    <w:pPr>
      <w:ind w:firstLine="540"/>
    </w:pPr>
    <w:rPr>
      <w:rFonts w:hint="eastAsia" w:ascii="宋体" w:hAnsi="Times New Roman" w:eastAsia="宋体"/>
      <w:sz w:val="28"/>
      <w:szCs w:val="20"/>
    </w:rPr>
  </w:style>
  <w:style w:type="paragraph" w:styleId="26">
    <w:name w:val="Body Text 2"/>
    <w:basedOn w:val="1"/>
    <w:link w:val="58"/>
    <w:qFormat/>
    <w:uiPriority w:val="0"/>
    <w:rPr>
      <w:rFonts w:ascii="Times New Roman" w:hAnsi="Times New Roman" w:eastAsia="宋体"/>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szCs w:val="20"/>
    </w:rPr>
  </w:style>
  <w:style w:type="paragraph" w:styleId="29">
    <w:name w:val="annotation subject"/>
    <w:basedOn w:val="10"/>
    <w:next w:val="10"/>
    <w:link w:val="46"/>
    <w:qFormat/>
    <w:uiPriority w:val="0"/>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basedOn w:val="32"/>
    <w:qFormat/>
    <w:uiPriority w:val="0"/>
  </w:style>
  <w:style w:type="character" w:styleId="35">
    <w:name w:val="Emphasis"/>
    <w:qFormat/>
    <w:uiPriority w:val="0"/>
    <w:rPr>
      <w:i/>
      <w:iCs/>
    </w:rPr>
  </w:style>
  <w:style w:type="character" w:styleId="36">
    <w:name w:val="Hyperlink"/>
    <w:qFormat/>
    <w:uiPriority w:val="99"/>
    <w:rPr>
      <w:color w:val="000000"/>
      <w:u w:val="single"/>
    </w:rPr>
  </w:style>
  <w:style w:type="character" w:styleId="37">
    <w:name w:val="annotation reference"/>
    <w:qFormat/>
    <w:uiPriority w:val="0"/>
    <w:rPr>
      <w:sz w:val="21"/>
      <w:szCs w:val="21"/>
    </w:rPr>
  </w:style>
  <w:style w:type="character" w:customStyle="1" w:styleId="38">
    <w:name w:val="批注文字 字符"/>
    <w:link w:val="10"/>
    <w:qFormat/>
    <w:uiPriority w:val="0"/>
    <w:rPr>
      <w:szCs w:val="24"/>
    </w:rPr>
  </w:style>
  <w:style w:type="character" w:customStyle="1" w:styleId="39">
    <w:name w:val="页脚 字符"/>
    <w:link w:val="21"/>
    <w:qFormat/>
    <w:uiPriority w:val="99"/>
    <w:rPr>
      <w:sz w:val="18"/>
      <w:szCs w:val="18"/>
    </w:rPr>
  </w:style>
  <w:style w:type="character" w:customStyle="1" w:styleId="40">
    <w:name w:val="纯文本 字符1"/>
    <w:semiHidden/>
    <w:qFormat/>
    <w:uiPriority w:val="99"/>
    <w:rPr>
      <w:rFonts w:ascii="等线" w:hAnsi="Courier New" w:cs="Courier New"/>
    </w:rPr>
  </w:style>
  <w:style w:type="character" w:customStyle="1" w:styleId="41">
    <w:name w:val="正文文本缩进 2 字符"/>
    <w:link w:val="19"/>
    <w:qFormat/>
    <w:uiPriority w:val="0"/>
    <w:rPr>
      <w:rFonts w:ascii="Times New Roman" w:hAnsi="Times New Roman" w:eastAsia="宋体" w:cs="Times New Roman"/>
      <w:sz w:val="28"/>
      <w:szCs w:val="20"/>
    </w:rPr>
  </w:style>
  <w:style w:type="character" w:customStyle="1" w:styleId="42">
    <w:name w:val="批注主题 字符1"/>
    <w:semiHidden/>
    <w:qFormat/>
    <w:uiPriority w:val="99"/>
    <w:rPr>
      <w:b/>
      <w:bCs/>
    </w:rPr>
  </w:style>
  <w:style w:type="character" w:customStyle="1" w:styleId="43">
    <w:name w:val="正文缩进 字符"/>
    <w:link w:val="7"/>
    <w:qFormat/>
    <w:uiPriority w:val="0"/>
    <w:rPr>
      <w:rFonts w:eastAsia="宋体"/>
      <w:szCs w:val="24"/>
    </w:rPr>
  </w:style>
  <w:style w:type="character" w:customStyle="1" w:styleId="44">
    <w:name w:val="题注 字符"/>
    <w:link w:val="8"/>
    <w:qFormat/>
    <w:uiPriority w:val="0"/>
    <w:rPr>
      <w:rFonts w:ascii="宋体" w:hAnsi="Arial" w:eastAsia="宋体" w:cs="Arial"/>
    </w:rPr>
  </w:style>
  <w:style w:type="character" w:customStyle="1" w:styleId="45">
    <w:name w:val="标题 2 字符"/>
    <w:link w:val="4"/>
    <w:qFormat/>
    <w:uiPriority w:val="0"/>
    <w:rPr>
      <w:rFonts w:ascii="宋体" w:hAnsi="宋体" w:eastAsia="宋体"/>
      <w:b/>
      <w:sz w:val="28"/>
      <w:szCs w:val="30"/>
    </w:rPr>
  </w:style>
  <w:style w:type="character" w:customStyle="1" w:styleId="46">
    <w:name w:val="批注主题 字符"/>
    <w:link w:val="29"/>
    <w:qFormat/>
    <w:uiPriority w:val="0"/>
    <w:rPr>
      <w:b/>
      <w:bCs/>
      <w:szCs w:val="24"/>
    </w:rPr>
  </w:style>
  <w:style w:type="character" w:customStyle="1" w:styleId="47">
    <w:name w:val="页眉 字符"/>
    <w:link w:val="22"/>
    <w:qFormat/>
    <w:uiPriority w:val="0"/>
    <w:rPr>
      <w:sz w:val="18"/>
      <w:szCs w:val="18"/>
    </w:rPr>
  </w:style>
  <w:style w:type="character" w:customStyle="1" w:styleId="48">
    <w:name w:val="批注框文本 字符"/>
    <w:link w:val="20"/>
    <w:qFormat/>
    <w:uiPriority w:val="0"/>
    <w:rPr>
      <w:sz w:val="18"/>
      <w:szCs w:val="18"/>
    </w:rPr>
  </w:style>
  <w:style w:type="character" w:customStyle="1" w:styleId="49">
    <w:name w:val="正文文本缩进 3 字符"/>
    <w:link w:val="25"/>
    <w:qFormat/>
    <w:uiPriority w:val="0"/>
    <w:rPr>
      <w:rFonts w:ascii="宋体" w:hAnsi="Times New Roman" w:eastAsia="宋体" w:cs="Times New Roman"/>
      <w:sz w:val="28"/>
      <w:szCs w:val="20"/>
    </w:rPr>
  </w:style>
  <w:style w:type="character" w:customStyle="1" w:styleId="50">
    <w:name w:val="标题 4 字符"/>
    <w:link w:val="6"/>
    <w:qFormat/>
    <w:uiPriority w:val="0"/>
    <w:rPr>
      <w:rFonts w:ascii="Arial" w:hAnsi="Arial" w:eastAsia="黑体" w:cs="Times New Roman"/>
      <w:b/>
      <w:bCs/>
      <w:sz w:val="28"/>
      <w:szCs w:val="28"/>
    </w:rPr>
  </w:style>
  <w:style w:type="character" w:customStyle="1" w:styleId="51">
    <w:name w:val="正文文本缩进 字符"/>
    <w:link w:val="14"/>
    <w:qFormat/>
    <w:uiPriority w:val="0"/>
    <w:rPr>
      <w:rFonts w:ascii="宋体" w:hAnsi="Times New Roman" w:eastAsia="宋体" w:cs="Times New Roman"/>
      <w:sz w:val="24"/>
      <w:szCs w:val="24"/>
    </w:rPr>
  </w:style>
  <w:style w:type="character" w:customStyle="1" w:styleId="52">
    <w:name w:val="样式 表图头@ + 段前: 0.5 行 Char"/>
    <w:link w:val="53"/>
    <w:qFormat/>
    <w:uiPriority w:val="0"/>
    <w:rPr>
      <w:rFonts w:ascii="宋体" w:hAnsi="宋体" w:eastAsia="宋体" w:cs="宋体"/>
    </w:rPr>
  </w:style>
  <w:style w:type="paragraph" w:customStyle="1" w:styleId="53">
    <w:name w:val="样式 表图头@ + 段前: 0.5 行"/>
    <w:basedOn w:val="1"/>
    <w:link w:val="52"/>
    <w:qFormat/>
    <w:uiPriority w:val="0"/>
    <w:pPr>
      <w:adjustRightInd w:val="0"/>
      <w:jc w:val="center"/>
    </w:pPr>
    <w:rPr>
      <w:rFonts w:ascii="宋体" w:hAnsi="宋体" w:eastAsia="宋体" w:cs="宋体"/>
    </w:rPr>
  </w:style>
  <w:style w:type="character" w:customStyle="1" w:styleId="54">
    <w:name w:val="标题 3 字符"/>
    <w:link w:val="5"/>
    <w:qFormat/>
    <w:uiPriority w:val="0"/>
    <w:rPr>
      <w:rFonts w:ascii="宋体" w:hAnsi="宋体" w:eastAsia="宋体"/>
      <w:sz w:val="24"/>
      <w:szCs w:val="24"/>
    </w:rPr>
  </w:style>
  <w:style w:type="character" w:customStyle="1" w:styleId="55">
    <w:name w:val="表内容@ Char"/>
    <w:link w:val="56"/>
    <w:qFormat/>
    <w:uiPriority w:val="0"/>
    <w:rPr>
      <w:rFonts w:ascii="宋体" w:hAnsi="宋体" w:eastAsia="宋体" w:cs="Arial"/>
      <w:szCs w:val="21"/>
    </w:rPr>
  </w:style>
  <w:style w:type="paragraph" w:customStyle="1" w:styleId="56">
    <w:name w:val="表内容@"/>
    <w:basedOn w:val="1"/>
    <w:link w:val="55"/>
    <w:qFormat/>
    <w:uiPriority w:val="0"/>
    <w:pPr>
      <w:adjustRightInd w:val="0"/>
      <w:jc w:val="center"/>
    </w:pPr>
    <w:rPr>
      <w:rFonts w:ascii="宋体" w:hAnsi="宋体" w:eastAsia="宋体" w:cs="Arial"/>
      <w:szCs w:val="21"/>
    </w:rPr>
  </w:style>
  <w:style w:type="character" w:customStyle="1" w:styleId="57">
    <w:name w:val="style5"/>
    <w:basedOn w:val="32"/>
    <w:qFormat/>
    <w:uiPriority w:val="0"/>
  </w:style>
  <w:style w:type="character" w:customStyle="1" w:styleId="58">
    <w:name w:val="正文文本 2 字符"/>
    <w:link w:val="26"/>
    <w:qFormat/>
    <w:uiPriority w:val="0"/>
    <w:rPr>
      <w:rFonts w:ascii="Times New Roman" w:hAnsi="Times New Roman" w:eastAsia="宋体" w:cs="Times New Roman"/>
      <w:szCs w:val="20"/>
    </w:rPr>
  </w:style>
  <w:style w:type="character" w:customStyle="1" w:styleId="59">
    <w:name w:val="d1"/>
    <w:qFormat/>
    <w:uiPriority w:val="0"/>
    <w:rPr>
      <w:rFonts w:hint="default" w:ascii="ˎ̥" w:hAnsi="ˎ̥"/>
      <w:color w:val="5C5C5C"/>
      <w:sz w:val="23"/>
      <w:szCs w:val="23"/>
      <w:u w:val="none"/>
    </w:rPr>
  </w:style>
  <w:style w:type="character" w:customStyle="1" w:styleId="60">
    <w:name w:val="正文文本 3 字符"/>
    <w:link w:val="11"/>
    <w:qFormat/>
    <w:uiPriority w:val="0"/>
    <w:rPr>
      <w:rFonts w:ascii="Times New Roman" w:hAnsi="Times New Roman" w:eastAsia="宋体" w:cs="Times New Roman"/>
      <w:sz w:val="16"/>
      <w:szCs w:val="16"/>
    </w:rPr>
  </w:style>
  <w:style w:type="character" w:customStyle="1" w:styleId="61">
    <w:name w:val="t1"/>
    <w:qFormat/>
    <w:uiPriority w:val="0"/>
    <w:rPr>
      <w:sz w:val="28"/>
      <w:szCs w:val="28"/>
    </w:rPr>
  </w:style>
  <w:style w:type="character" w:customStyle="1" w:styleId="62">
    <w:name w:val="正文1 Char"/>
    <w:link w:val="63"/>
    <w:qFormat/>
    <w:uiPriority w:val="0"/>
    <w:rPr>
      <w:rFonts w:eastAsia="宋体"/>
    </w:rPr>
  </w:style>
  <w:style w:type="paragraph" w:customStyle="1" w:styleId="63">
    <w:name w:val="正文1"/>
    <w:basedOn w:val="1"/>
    <w:link w:val="62"/>
    <w:qFormat/>
    <w:uiPriority w:val="0"/>
    <w:pPr>
      <w:adjustRightInd w:val="0"/>
      <w:snapToGrid w:val="0"/>
      <w:spacing w:line="500" w:lineRule="atLeast"/>
      <w:ind w:firstLine="567"/>
    </w:pPr>
    <w:rPr>
      <w:rFonts w:eastAsia="宋体"/>
    </w:rPr>
  </w:style>
  <w:style w:type="character" w:customStyle="1" w:styleId="64">
    <w:name w:val="结束语 字符"/>
    <w:link w:val="12"/>
    <w:qFormat/>
    <w:uiPriority w:val="0"/>
    <w:rPr>
      <w:rFonts w:ascii="Times New Roman" w:hAnsi="Times New Roman" w:eastAsia="宋体"/>
      <w:kern w:val="2"/>
      <w:sz w:val="21"/>
      <w:szCs w:val="21"/>
    </w:rPr>
  </w:style>
  <w:style w:type="character" w:customStyle="1" w:styleId="65">
    <w:name w:val="日期 字符"/>
    <w:basedOn w:val="32"/>
    <w:link w:val="18"/>
    <w:qFormat/>
    <w:uiPriority w:val="0"/>
  </w:style>
  <w:style w:type="character" w:customStyle="1" w:styleId="66">
    <w:name w:val="样式 样式 正文@ + 首行缩进:  2 字符 字距调整小四 紧缩量  0.2 磅 + 首行缩进:  2 字符 Char"/>
    <w:link w:val="67"/>
    <w:qFormat/>
    <w:uiPriority w:val="0"/>
    <w:rPr>
      <w:rFonts w:ascii="宋体" w:hAnsi="宋体" w:eastAsia="宋体" w:cs="宋体"/>
      <w:kern w:val="24"/>
      <w:sz w:val="24"/>
      <w:szCs w:val="24"/>
    </w:rPr>
  </w:style>
  <w:style w:type="paragraph" w:customStyle="1" w:styleId="67">
    <w:name w:val="样式 样式 正文@ + 首行缩进:  2 字符 字距调整小四 紧缩量  0.2 磅 + 首行缩进:  2 字符"/>
    <w:basedOn w:val="1"/>
    <w:link w:val="66"/>
    <w:qFormat/>
    <w:uiPriority w:val="0"/>
    <w:pPr>
      <w:spacing w:line="360" w:lineRule="auto"/>
      <w:ind w:firstLine="480" w:firstLineChars="200"/>
    </w:pPr>
    <w:rPr>
      <w:rFonts w:ascii="宋体" w:hAnsi="宋体" w:eastAsia="宋体" w:cs="宋体"/>
      <w:kern w:val="24"/>
      <w:sz w:val="24"/>
      <w:szCs w:val="24"/>
    </w:rPr>
  </w:style>
  <w:style w:type="character" w:customStyle="1" w:styleId="68">
    <w:name w:val="正文文本 字符"/>
    <w:link w:val="13"/>
    <w:qFormat/>
    <w:uiPriority w:val="0"/>
    <w:rPr>
      <w:rFonts w:ascii="Times New Roman" w:hAnsi="Times New Roman" w:eastAsia="宋体" w:cs="Times New Roman"/>
      <w:sz w:val="32"/>
      <w:szCs w:val="20"/>
    </w:rPr>
  </w:style>
  <w:style w:type="character" w:customStyle="1" w:styleId="69">
    <w:name w:val="样式 正文@ + 首行缩进:  2 字符2 Char"/>
    <w:link w:val="70"/>
    <w:qFormat/>
    <w:uiPriority w:val="0"/>
    <w:rPr>
      <w:rFonts w:ascii="宋体" w:hAnsi="宋体" w:eastAsia="宋体" w:cs="宋体"/>
      <w:sz w:val="24"/>
    </w:rPr>
  </w:style>
  <w:style w:type="paragraph" w:customStyle="1" w:styleId="70">
    <w:name w:val="样式 正文@ + 首行缩进:  2 字符2"/>
    <w:basedOn w:val="1"/>
    <w:link w:val="69"/>
    <w:qFormat/>
    <w:uiPriority w:val="0"/>
    <w:pPr>
      <w:spacing w:line="360" w:lineRule="auto"/>
      <w:ind w:firstLine="480" w:firstLineChars="200"/>
    </w:pPr>
    <w:rPr>
      <w:rFonts w:ascii="宋体" w:hAnsi="宋体" w:eastAsia="宋体" w:cs="宋体"/>
      <w:sz w:val="24"/>
    </w:rPr>
  </w:style>
  <w:style w:type="character" w:customStyle="1" w:styleId="71">
    <w:name w:val="样式2 Char Char"/>
    <w:link w:val="72"/>
    <w:qFormat/>
    <w:uiPriority w:val="0"/>
    <w:rPr>
      <w:rFonts w:ascii="黑体" w:hAnsi="宋体" w:eastAsia="黑体"/>
      <w:bCs/>
      <w:sz w:val="24"/>
      <w:szCs w:val="24"/>
    </w:rPr>
  </w:style>
  <w:style w:type="paragraph" w:customStyle="1" w:styleId="72">
    <w:name w:val="样式2"/>
    <w:basedOn w:val="1"/>
    <w:link w:val="71"/>
    <w:qFormat/>
    <w:uiPriority w:val="0"/>
    <w:pPr>
      <w:spacing w:line="360" w:lineRule="auto"/>
      <w:ind w:firstLine="840" w:firstLineChars="350"/>
    </w:pPr>
    <w:rPr>
      <w:rFonts w:ascii="黑体" w:hAnsi="宋体" w:eastAsia="黑体"/>
      <w:bCs/>
      <w:sz w:val="24"/>
      <w:szCs w:val="24"/>
    </w:rPr>
  </w:style>
  <w:style w:type="character" w:customStyle="1" w:styleId="73">
    <w:name w:val="批注文字 字符1"/>
    <w:basedOn w:val="32"/>
    <w:semiHidden/>
    <w:qFormat/>
    <w:uiPriority w:val="99"/>
  </w:style>
  <w:style w:type="character" w:customStyle="1" w:styleId="74">
    <w:name w:val="表头 Char"/>
    <w:link w:val="75"/>
    <w:qFormat/>
    <w:uiPriority w:val="0"/>
    <w:rPr>
      <w:rFonts w:ascii="黑体" w:eastAsia="黑体"/>
      <w:sz w:val="24"/>
    </w:rPr>
  </w:style>
  <w:style w:type="paragraph" w:customStyle="1" w:styleId="75">
    <w:name w:val="表头"/>
    <w:basedOn w:val="1"/>
    <w:link w:val="74"/>
    <w:qFormat/>
    <w:uiPriority w:val="0"/>
    <w:pPr>
      <w:spacing w:line="360" w:lineRule="auto"/>
      <w:jc w:val="center"/>
    </w:pPr>
    <w:rPr>
      <w:rFonts w:ascii="黑体" w:eastAsia="黑体"/>
      <w:sz w:val="24"/>
    </w:rPr>
  </w:style>
  <w:style w:type="character" w:customStyle="1" w:styleId="76">
    <w:name w:val="纯文本 Char"/>
    <w:qFormat/>
    <w:uiPriority w:val="0"/>
    <w:rPr>
      <w:rFonts w:ascii="宋体" w:hAnsi="Courier New" w:eastAsia="宋体"/>
      <w:kern w:val="2"/>
      <w:sz w:val="21"/>
      <w:lang w:val="en-US" w:eastAsia="zh-CN" w:bidi="ar-SA"/>
    </w:rPr>
  </w:style>
  <w:style w:type="character" w:customStyle="1" w:styleId="77">
    <w:name w:val="标题 1 字符"/>
    <w:link w:val="3"/>
    <w:qFormat/>
    <w:uiPriority w:val="0"/>
    <w:rPr>
      <w:rFonts w:ascii="宋体" w:hAnsi="宋体" w:eastAsia="宋体"/>
      <w:b/>
      <w:sz w:val="30"/>
      <w:szCs w:val="30"/>
    </w:rPr>
  </w:style>
  <w:style w:type="character" w:customStyle="1" w:styleId="78">
    <w:name w:val="文档结构图 字符"/>
    <w:link w:val="9"/>
    <w:semiHidden/>
    <w:qFormat/>
    <w:uiPriority w:val="0"/>
    <w:rPr>
      <w:rFonts w:ascii="Times New Roman" w:hAnsi="Times New Roman" w:eastAsia="宋体" w:cs="Times New Roman"/>
      <w:szCs w:val="24"/>
      <w:shd w:val="clear" w:color="auto" w:fill="000080"/>
    </w:rPr>
  </w:style>
  <w:style w:type="character" w:customStyle="1" w:styleId="79">
    <w:name w:val="apple-converted-space"/>
    <w:basedOn w:val="32"/>
    <w:qFormat/>
    <w:uiPriority w:val="0"/>
  </w:style>
  <w:style w:type="character" w:customStyle="1" w:styleId="80">
    <w:name w:val="正文2 Char Char"/>
    <w:link w:val="81"/>
    <w:qFormat/>
    <w:uiPriority w:val="0"/>
    <w:rPr>
      <w:spacing w:val="18"/>
      <w:kern w:val="2"/>
      <w:sz w:val="32"/>
      <w:szCs w:val="22"/>
      <w:lang w:val="en-US" w:eastAsia="zh-CN" w:bidi="ar-SA"/>
    </w:rPr>
  </w:style>
  <w:style w:type="paragraph" w:customStyle="1" w:styleId="81">
    <w:name w:val="正文2"/>
    <w:link w:val="80"/>
    <w:qFormat/>
    <w:uiPriority w:val="0"/>
    <w:pPr>
      <w:widowControl w:val="0"/>
      <w:suppressAutoHyphens/>
      <w:spacing w:line="520" w:lineRule="atLeast"/>
      <w:ind w:firstLine="680"/>
      <w:jc w:val="both"/>
    </w:pPr>
    <w:rPr>
      <w:rFonts w:ascii="等线" w:hAnsi="等线" w:eastAsia="等线" w:cs="Times New Roman"/>
      <w:spacing w:val="18"/>
      <w:kern w:val="2"/>
      <w:sz w:val="32"/>
      <w:szCs w:val="22"/>
      <w:lang w:val="en-US" w:eastAsia="zh-CN" w:bidi="ar-SA"/>
    </w:rPr>
  </w:style>
  <w:style w:type="character" w:customStyle="1" w:styleId="82">
    <w:name w:val="纯文本 字符"/>
    <w:link w:val="17"/>
    <w:qFormat/>
    <w:uiPriority w:val="0"/>
    <w:rPr>
      <w:rFonts w:ascii="宋体" w:hAnsi="Courier New" w:eastAsia="宋体"/>
    </w:rPr>
  </w:style>
  <w:style w:type="paragraph" w:customStyle="1" w:styleId="83">
    <w:name w:val="2.1.1"/>
    <w:basedOn w:val="1"/>
    <w:qFormat/>
    <w:uiPriority w:val="0"/>
    <w:rPr>
      <w:rFonts w:ascii="Times New Roman" w:hAnsi="Times New Roman" w:eastAsia="宋体"/>
      <w:sz w:val="24"/>
      <w:szCs w:val="24"/>
    </w:rPr>
  </w:style>
  <w:style w:type="paragraph" w:customStyle="1" w:styleId="84">
    <w:name w:val="CM5"/>
    <w:basedOn w:val="85"/>
    <w:next w:val="85"/>
    <w:qFormat/>
    <w:uiPriority w:val="0"/>
    <w:pPr>
      <w:spacing w:line="436" w:lineRule="atLeast"/>
    </w:pPr>
    <w:rPr>
      <w:rFonts w:ascii="仿宋_GB2312" w:hAnsi="Times New Roman" w:eastAsia="仿宋_GB2312" w:cs="Times New Roman"/>
      <w:color w:val="auto"/>
    </w:rPr>
  </w:style>
  <w:style w:type="paragraph" w:customStyle="1" w:styleId="85">
    <w:name w:val="Default"/>
    <w:qFormat/>
    <w:uiPriority w:val="0"/>
    <w:pPr>
      <w:widowControl w:val="0"/>
      <w:autoSpaceDE w:val="0"/>
      <w:autoSpaceDN w:val="0"/>
      <w:adjustRightInd w:val="0"/>
    </w:pPr>
    <w:rPr>
      <w:rFonts w:ascii="宋体" w:hAnsi="宋体" w:eastAsia="等线" w:cs="宋体"/>
      <w:color w:val="000000"/>
      <w:sz w:val="24"/>
      <w:szCs w:val="24"/>
      <w:lang w:val="en-US" w:eastAsia="zh-CN" w:bidi="ar-SA"/>
    </w:rPr>
  </w:style>
  <w:style w:type="paragraph" w:customStyle="1" w:styleId="86">
    <w:name w:val="CM6"/>
    <w:basedOn w:val="85"/>
    <w:next w:val="85"/>
    <w:qFormat/>
    <w:uiPriority w:val="0"/>
    <w:pPr>
      <w:spacing w:line="626" w:lineRule="atLeast"/>
    </w:pPr>
    <w:rPr>
      <w:rFonts w:hAnsi="Times New Roman" w:cs="Times New Roman"/>
      <w:color w:val="auto"/>
    </w:rPr>
  </w:style>
  <w:style w:type="paragraph" w:customStyle="1" w:styleId="87">
    <w:name w:val="默认段落字体 Para Char Char Char Char"/>
    <w:basedOn w:val="1"/>
    <w:qFormat/>
    <w:uiPriority w:val="0"/>
    <w:rPr>
      <w:rFonts w:ascii="Times New Roman" w:hAnsi="Times New Roman" w:eastAsia="宋体"/>
      <w:szCs w:val="21"/>
    </w:rPr>
  </w:style>
  <w:style w:type="paragraph" w:customStyle="1" w:styleId="8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spacing w:val="6"/>
      <w:kern w:val="0"/>
      <w:szCs w:val="20"/>
    </w:rPr>
  </w:style>
  <w:style w:type="paragraph" w:customStyle="1" w:styleId="89">
    <w:name w:val="CM3"/>
    <w:basedOn w:val="85"/>
    <w:next w:val="85"/>
    <w:qFormat/>
    <w:uiPriority w:val="0"/>
    <w:pPr>
      <w:spacing w:line="468" w:lineRule="atLeast"/>
    </w:pPr>
    <w:rPr>
      <w:rFonts w:hAnsi="Times New Roman" w:cs="Times New Roman"/>
      <w:color w:val="auto"/>
    </w:rPr>
  </w:style>
  <w:style w:type="paragraph" w:styleId="90">
    <w:name w:val="List Paragraph"/>
    <w:basedOn w:val="1"/>
    <w:qFormat/>
    <w:uiPriority w:val="34"/>
    <w:pPr>
      <w:ind w:firstLine="420" w:firstLineChars="200"/>
    </w:pPr>
    <w:rPr>
      <w:rFonts w:ascii="Times New Roman" w:hAnsi="Times New Roman" w:eastAsia="宋体"/>
      <w:szCs w:val="20"/>
    </w:rPr>
  </w:style>
  <w:style w:type="paragraph" w:customStyle="1" w:styleId="91">
    <w:name w:val="CM8"/>
    <w:basedOn w:val="85"/>
    <w:next w:val="85"/>
    <w:qFormat/>
    <w:uiPriority w:val="0"/>
    <w:pPr>
      <w:spacing w:line="436" w:lineRule="atLeast"/>
    </w:pPr>
    <w:rPr>
      <w:rFonts w:ascii="仿宋_GB2312" w:hAnsi="Times New Roman" w:eastAsia="仿宋_GB2312" w:cs="Times New Roman"/>
      <w:color w:val="auto"/>
    </w:rPr>
  </w:style>
  <w:style w:type="paragraph" w:customStyle="1" w:styleId="92">
    <w:name w:val="正文内容"/>
    <w:basedOn w:val="1"/>
    <w:qFormat/>
    <w:uiPriority w:val="0"/>
    <w:pPr>
      <w:spacing w:line="360" w:lineRule="auto"/>
      <w:ind w:firstLine="624"/>
    </w:pPr>
    <w:rPr>
      <w:rFonts w:ascii="宋体" w:hAnsi="Times New Roman" w:eastAsia="宋体"/>
      <w:sz w:val="24"/>
      <w:szCs w:val="24"/>
    </w:rPr>
  </w:style>
  <w:style w:type="paragraph" w:customStyle="1" w:styleId="93">
    <w:name w:val="样式1"/>
    <w:basedOn w:val="1"/>
    <w:qFormat/>
    <w:uiPriority w:val="0"/>
    <w:pPr>
      <w:spacing w:line="360" w:lineRule="exact"/>
      <w:ind w:firstLine="420" w:firstLineChars="200"/>
    </w:pPr>
    <w:rPr>
      <w:rFonts w:ascii="Times New Roman" w:hAnsi="Times New Roman" w:eastAsia="宋体"/>
      <w:szCs w:val="24"/>
    </w:rPr>
  </w:style>
  <w:style w:type="paragraph" w:customStyle="1" w:styleId="94">
    <w:name w:val="列出段落1"/>
    <w:basedOn w:val="1"/>
    <w:qFormat/>
    <w:uiPriority w:val="34"/>
    <w:pPr>
      <w:ind w:firstLine="420" w:firstLineChars="200"/>
    </w:pPr>
  </w:style>
  <w:style w:type="paragraph" w:customStyle="1" w:styleId="95">
    <w:name w:val="样式 小四 行距: 1.5 倍行距 首行缩进:  2 字符"/>
    <w:basedOn w:val="1"/>
    <w:qFormat/>
    <w:uiPriority w:val="0"/>
    <w:pPr>
      <w:spacing w:line="500" w:lineRule="exact"/>
      <w:ind w:firstLine="480" w:firstLineChars="200"/>
    </w:pPr>
    <w:rPr>
      <w:rFonts w:ascii="Times New Roman" w:hAnsi="宋体" w:eastAsia="宋体"/>
      <w:sz w:val="24"/>
      <w:szCs w:val="20"/>
    </w:rPr>
  </w:style>
  <w:style w:type="paragraph" w:customStyle="1" w:styleId="96">
    <w:name w:val="Char1"/>
    <w:basedOn w:val="1"/>
    <w:qFormat/>
    <w:uiPriority w:val="0"/>
    <w:rPr>
      <w:rFonts w:ascii="Times New Roman" w:hAnsi="Times New Roman" w:eastAsia="宋体"/>
      <w:szCs w:val="24"/>
    </w:rPr>
  </w:style>
  <w:style w:type="paragraph" w:customStyle="1" w:styleId="97">
    <w:name w:val="无间隔1"/>
    <w:qFormat/>
    <w:uiPriority w:val="99"/>
    <w:pPr>
      <w:widowControl w:val="0"/>
      <w:jc w:val="both"/>
    </w:pPr>
    <w:rPr>
      <w:rFonts w:ascii="等线" w:hAnsi="等线" w:eastAsia="等线" w:cs="Times New Roman"/>
      <w:kern w:val="2"/>
      <w:sz w:val="21"/>
      <w:szCs w:val="21"/>
      <w:lang w:val="en-US" w:eastAsia="zh-CN" w:bidi="ar-SA"/>
    </w:rPr>
  </w:style>
  <w:style w:type="paragraph" w:customStyle="1" w:styleId="98">
    <w:name w:val="CM51"/>
    <w:basedOn w:val="85"/>
    <w:next w:val="85"/>
    <w:qFormat/>
    <w:uiPriority w:val="0"/>
    <w:rPr>
      <w:rFonts w:hAnsi="Times New Roman" w:cs="Times New Roman"/>
      <w:color w:val="auto"/>
    </w:rPr>
  </w:style>
  <w:style w:type="paragraph" w:customStyle="1" w:styleId="99">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100">
    <w:name w:val="文"/>
    <w:basedOn w:val="1"/>
    <w:qFormat/>
    <w:uiPriority w:val="0"/>
    <w:pPr>
      <w:spacing w:line="360" w:lineRule="auto"/>
      <w:ind w:firstLine="480" w:firstLineChars="200"/>
    </w:pPr>
    <w:rPr>
      <w:rFonts w:ascii="Times New Roman" w:hAnsi="Times New Roman" w:eastAsia="宋体"/>
      <w:sz w:val="24"/>
      <w:szCs w:val="20"/>
    </w:rPr>
  </w:style>
  <w:style w:type="paragraph" w:customStyle="1" w:styleId="101">
    <w:name w:val="中等深浅列表 2 - 着色 41"/>
    <w:basedOn w:val="1"/>
    <w:qFormat/>
    <w:uiPriority w:val="34"/>
    <w:pPr>
      <w:adjustRightInd w:val="0"/>
      <w:spacing w:line="360" w:lineRule="atLeast"/>
      <w:ind w:firstLine="420" w:firstLineChars="200"/>
      <w:jc w:val="left"/>
      <w:textAlignment w:val="baseline"/>
    </w:pPr>
    <w:rPr>
      <w:rFonts w:ascii="Times New Roman" w:hAnsi="Times New Roman" w:eastAsia="宋体"/>
      <w:kern w:val="0"/>
      <w:sz w:val="24"/>
      <w:szCs w:val="20"/>
    </w:rPr>
  </w:style>
  <w:style w:type="paragraph" w:customStyle="1" w:styleId="102">
    <w:name w:val="Char Char Char Char Char Char Char"/>
    <w:basedOn w:val="1"/>
    <w:qFormat/>
    <w:uiPriority w:val="0"/>
    <w:rPr>
      <w:rFonts w:ascii="Times New Roman" w:hAnsi="Times New Roman" w:eastAsia="宋体"/>
      <w:szCs w:val="24"/>
    </w:rPr>
  </w:style>
  <w:style w:type="paragraph" w:customStyle="1" w:styleId="103">
    <w:name w:val="大田正文"/>
    <w:basedOn w:val="14"/>
    <w:qFormat/>
    <w:uiPriority w:val="0"/>
    <w:pPr>
      <w:spacing w:line="500" w:lineRule="exact"/>
      <w:ind w:firstLine="567"/>
    </w:pPr>
    <w:rPr>
      <w:sz w:val="28"/>
      <w:szCs w:val="20"/>
    </w:rPr>
  </w:style>
  <w:style w:type="paragraph" w:customStyle="1" w:styleId="104">
    <w:name w:val="法规"/>
    <w:basedOn w:val="1"/>
    <w:qFormat/>
    <w:uiPriority w:val="0"/>
    <w:pPr>
      <w:tabs>
        <w:tab w:val="left" w:pos="400"/>
      </w:tabs>
      <w:spacing w:line="440" w:lineRule="exact"/>
      <w:ind w:firstLine="400"/>
    </w:pPr>
    <w:rPr>
      <w:rFonts w:ascii="Times New Roman" w:hAnsi="Times New Roman" w:eastAsia="宋体"/>
      <w:sz w:val="25"/>
      <w:szCs w:val="20"/>
    </w:rPr>
  </w:style>
  <w:style w:type="paragraph" w:customStyle="1" w:styleId="105">
    <w:name w:val="CM7"/>
    <w:basedOn w:val="85"/>
    <w:next w:val="85"/>
    <w:qFormat/>
    <w:uiPriority w:val="0"/>
    <w:pPr>
      <w:spacing w:line="471" w:lineRule="atLeast"/>
    </w:pPr>
    <w:rPr>
      <w:rFonts w:hAnsi="Times New Roman" w:cs="Times New Roman"/>
      <w:color w:val="auto"/>
    </w:rPr>
  </w:style>
  <w:style w:type="paragraph" w:customStyle="1" w:styleId="106">
    <w:name w:val="样式 小四 首行缩进:  1.01 厘米 行距: 1.5 倍行距"/>
    <w:basedOn w:val="1"/>
    <w:qFormat/>
    <w:uiPriority w:val="0"/>
    <w:pPr>
      <w:adjustRightInd w:val="0"/>
      <w:snapToGrid w:val="0"/>
      <w:spacing w:line="360" w:lineRule="auto"/>
      <w:ind w:firstLine="200" w:firstLineChars="200"/>
    </w:pPr>
    <w:rPr>
      <w:rFonts w:ascii="Times New Roman" w:hAnsi="Times New Roman" w:eastAsia="宋体"/>
      <w:kern w:val="24"/>
      <w:sz w:val="24"/>
      <w:szCs w:val="24"/>
    </w:rPr>
  </w:style>
  <w:style w:type="paragraph" w:customStyle="1" w:styleId="107">
    <w:name w:val="CM40"/>
    <w:basedOn w:val="85"/>
    <w:next w:val="85"/>
    <w:qFormat/>
    <w:uiPriority w:val="0"/>
    <w:rPr>
      <w:rFonts w:hAnsi="Times New Roman" w:cs="Times New Roman"/>
      <w:color w:val="auto"/>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kern w:val="0"/>
      <w:szCs w:val="20"/>
    </w:rPr>
  </w:style>
  <w:style w:type="paragraph" w:customStyle="1" w:styleId="109">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110">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kern w:val="0"/>
      <w:szCs w:val="20"/>
    </w:rPr>
  </w:style>
  <w:style w:type="paragraph" w:customStyle="1" w:styleId="111">
    <w:name w:val="三级标题"/>
    <w:basedOn w:val="1"/>
    <w:qFormat/>
    <w:uiPriority w:val="0"/>
    <w:pPr>
      <w:spacing w:line="360" w:lineRule="auto"/>
    </w:pPr>
    <w:rPr>
      <w:rFonts w:ascii="宋体" w:hAnsi="宋体" w:eastAsia="宋体"/>
      <w:bCs/>
      <w:sz w:val="24"/>
      <w:szCs w:val="24"/>
    </w:rPr>
  </w:style>
  <w:style w:type="paragraph" w:customStyle="1" w:styleId="112">
    <w:name w:val="我的正文"/>
    <w:basedOn w:val="1"/>
    <w:qFormat/>
    <w:uiPriority w:val="0"/>
    <w:pPr>
      <w:spacing w:line="540" w:lineRule="exact"/>
      <w:ind w:firstLine="560" w:firstLineChars="200"/>
    </w:pPr>
    <w:rPr>
      <w:rFonts w:ascii="Times New Roman" w:hAnsi="Times New Roman" w:eastAsia="宋体"/>
      <w:sz w:val="28"/>
      <w:szCs w:val="24"/>
    </w:rPr>
  </w:style>
  <w:style w:type="paragraph" w:customStyle="1" w:styleId="113">
    <w:name w:val="Grid Table 4 Accent 5"/>
    <w:basedOn w:val="3"/>
    <w:next w:val="1"/>
    <w:unhideWhenUsed/>
    <w:qFormat/>
    <w:uiPriority w:val="39"/>
    <w:pPr>
      <w:keepNext/>
      <w:keepLines/>
      <w:widowControl/>
      <w:spacing w:before="240" w:line="259" w:lineRule="auto"/>
      <w:jc w:val="left"/>
      <w:outlineLvl w:val="9"/>
    </w:pPr>
    <w:rPr>
      <w:rFonts w:ascii="等线 Light" w:hAnsi="等线 Light" w:eastAsia="等线 Light"/>
      <w:b w:val="0"/>
      <w:color w:val="2F5496"/>
      <w:kern w:val="0"/>
      <w:sz w:val="32"/>
      <w:szCs w:val="32"/>
    </w:rPr>
  </w:style>
  <w:style w:type="paragraph" w:customStyle="1" w:styleId="114">
    <w:name w:val="4"/>
    <w:basedOn w:val="1"/>
    <w:next w:val="17"/>
    <w:qFormat/>
    <w:uiPriority w:val="0"/>
    <w:rPr>
      <w:rFonts w:ascii="宋体" w:hAnsi="Courier New" w:eastAsia="宋体" w:cs="Courier New"/>
      <w:szCs w:val="21"/>
    </w:rPr>
  </w:style>
  <w:style w:type="paragraph" w:customStyle="1" w:styleId="115">
    <w:name w:val="CM112"/>
    <w:basedOn w:val="85"/>
    <w:next w:val="85"/>
    <w:qFormat/>
    <w:uiPriority w:val="0"/>
    <w:rPr>
      <w:rFonts w:ascii="仿宋_GB2312" w:hAnsi="Times New Roman" w:eastAsia="仿宋_GB2312" w:cs="Times New Roman"/>
      <w:color w:val="auto"/>
    </w:rPr>
  </w:style>
  <w:style w:type="paragraph" w:customStyle="1" w:styleId="11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17">
    <w:name w:val="Char"/>
    <w:basedOn w:val="1"/>
    <w:qFormat/>
    <w:uiPriority w:val="0"/>
    <w:pPr>
      <w:widowControl/>
      <w:spacing w:after="160" w:line="240" w:lineRule="exact"/>
      <w:ind w:left="100" w:leftChars="-100" w:hanging="200" w:hangingChars="200"/>
      <w:jc w:val="left"/>
    </w:pPr>
    <w:rPr>
      <w:rFonts w:ascii="Times New Roman" w:hAnsi="Times New Roman" w:eastAsia="宋体"/>
      <w:szCs w:val="20"/>
    </w:rPr>
  </w:style>
  <w:style w:type="paragraph" w:customStyle="1" w:styleId="118">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kern w:val="0"/>
      <w:szCs w:val="21"/>
    </w:rPr>
  </w:style>
  <w:style w:type="paragraph" w:customStyle="1" w:styleId="119">
    <w:name w:val="表格标题"/>
    <w:basedOn w:val="1"/>
    <w:qFormat/>
    <w:uiPriority w:val="0"/>
    <w:pPr>
      <w:spacing w:before="120"/>
      <w:jc w:val="center"/>
    </w:pPr>
    <w:rPr>
      <w:rFonts w:ascii="Times New Roman" w:hAnsi="Times New Roman" w:eastAsia="宋体"/>
      <w:sz w:val="24"/>
      <w:szCs w:val="20"/>
    </w:rPr>
  </w:style>
  <w:style w:type="paragraph" w:customStyle="1" w:styleId="120">
    <w:name w:val="CM109"/>
    <w:basedOn w:val="85"/>
    <w:next w:val="85"/>
    <w:qFormat/>
    <w:uiPriority w:val="0"/>
    <w:rPr>
      <w:rFonts w:ascii="仿宋_GB2312" w:hAnsi="Times New Roman" w:eastAsia="仿宋_GB2312" w:cs="Times New Roman"/>
      <w:color w:val="auto"/>
    </w:rPr>
  </w:style>
  <w:style w:type="paragraph" w:customStyle="1" w:styleId="121">
    <w:name w:val="p0"/>
    <w:basedOn w:val="1"/>
    <w:qFormat/>
    <w:uiPriority w:val="0"/>
    <w:pPr>
      <w:widowControl/>
    </w:pPr>
    <w:rPr>
      <w:rFonts w:hint="eastAsia" w:ascii="Times New Roman" w:hAnsi="Times New Roman" w:eastAsia="宋体"/>
      <w:sz w:val="24"/>
      <w:szCs w:val="24"/>
    </w:rPr>
  </w:style>
  <w:style w:type="paragraph" w:customStyle="1" w:styleId="122">
    <w:name w:val="List Paragraph1"/>
    <w:basedOn w:val="1"/>
    <w:qFormat/>
    <w:uiPriority w:val="99"/>
    <w:pPr>
      <w:ind w:firstLine="420" w:firstLineChars="200"/>
    </w:pPr>
    <w:rPr>
      <w:rFonts w:ascii="Calibri" w:hAnsi="Calibri" w:eastAsia="宋体"/>
    </w:rPr>
  </w:style>
  <w:style w:type="paragraph" w:customStyle="1" w:styleId="123">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szCs w:val="24"/>
    </w:rPr>
  </w:style>
  <w:style w:type="table" w:customStyle="1" w:styleId="124">
    <w:name w:val="网格型1"/>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5">
    <w:name w:val="环评表格"/>
    <w:basedOn w:val="88"/>
    <w:qFormat/>
    <w:uiPriority w:val="0"/>
    <w:pPr>
      <w:widowControl/>
      <w:spacing w:line="240" w:lineRule="atLeast"/>
      <w:contextualSpacing/>
    </w:pPr>
    <w:rPr>
      <w:sz w:val="25"/>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3350</Words>
  <Characters>19095</Characters>
  <Lines>159</Lines>
  <Paragraphs>44</Paragraphs>
  <TotalTime>0</TotalTime>
  <ScaleCrop>false</ScaleCrop>
  <LinksUpToDate>false</LinksUpToDate>
  <CharactersWithSpaces>22401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2019-05-06T14:21:00Z</dcterms:created>
  <dc:creator>牛旭浩</dc:creator>
  <cp:lastModifiedBy>后知后觉</cp:lastModifiedBy>
  <cp:lastPrinted>2019-10-18T01:12:00Z</cp:lastPrinted>
  <dcterms:modified xsi:type="dcterms:W3CDTF">2019-11-21T03:03:14Z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